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ascii="黑体" w:hAnsi="黑体" w:eastAsia="黑体" w:cs="仿宋_GB2312"/>
          <w:color w:val="auto"/>
          <w:szCs w:val="32"/>
        </w:rPr>
      </w:pPr>
      <w:r>
        <w:rPr>
          <w:rFonts w:hint="eastAsia" w:ascii="黑体" w:hAnsi="黑体" w:eastAsia="黑体" w:cs="仿宋_GB2312"/>
          <w:color w:val="auto"/>
          <w:kern w:val="0"/>
          <w:szCs w:val="32"/>
        </w:rPr>
        <w:t>附件</w:t>
      </w:r>
      <w:r>
        <w:rPr>
          <w:rFonts w:hint="eastAsia" w:ascii="黑体" w:hAnsi="黑体" w:eastAsia="黑体" w:cs="仿宋_GB2312"/>
          <w:color w:val="auto"/>
          <w:kern w:val="0"/>
          <w:szCs w:val="32"/>
          <w:lang w:val="en-US" w:eastAsia="zh-CN"/>
        </w:rPr>
        <w:t>5</w:t>
      </w:r>
      <w:r>
        <w:rPr>
          <w:rFonts w:hint="eastAsia" w:ascii="黑体" w:hAnsi="黑体" w:eastAsia="黑体" w:cs="仿宋_GB2312"/>
          <w:color w:val="auto"/>
          <w:kern w:val="0"/>
          <w:sz w:val="32"/>
          <w:szCs w:val="32"/>
        </w:rPr>
        <w:t xml:space="preserve"> </w:t>
      </w:r>
    </w:p>
    <w:p>
      <w:pPr>
        <w:widowControl/>
        <w:adjustRightInd w:val="0"/>
        <w:snapToGrid w:val="0"/>
        <w:spacing w:line="560" w:lineRule="exact"/>
        <w:ind w:firstLine="356" w:firstLineChars="100"/>
        <w:jc w:val="both"/>
        <w:rPr>
          <w:rFonts w:ascii="黑体" w:hAnsi="黑体" w:eastAsia="黑体" w:cs="黑体"/>
          <w:color w:val="auto"/>
          <w:kern w:val="0"/>
          <w:sz w:val="36"/>
          <w:szCs w:val="36"/>
        </w:rPr>
      </w:pPr>
    </w:p>
    <w:p>
      <w:pPr>
        <w:widowControl/>
        <w:adjustRightInd w:val="0"/>
        <w:snapToGrid w:val="0"/>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评价数据表指标解释</w:t>
      </w:r>
    </w:p>
    <w:p>
      <w:pPr>
        <w:pStyle w:val="3"/>
        <w:adjustRightInd w:val="0"/>
        <w:snapToGrid w:val="0"/>
        <w:spacing w:line="560" w:lineRule="exact"/>
        <w:ind w:firstLine="600"/>
        <w:rPr>
          <w:rFonts w:ascii="黑体" w:hAnsi="黑体" w:eastAsia="黑体" w:cs="黑体"/>
          <w:color w:val="auto"/>
          <w:szCs w:val="30"/>
        </w:rPr>
      </w:pPr>
    </w:p>
    <w:p>
      <w:pPr>
        <w:pStyle w:val="3"/>
        <w:adjustRightInd w:val="0"/>
        <w:snapToGrid w:val="0"/>
        <w:spacing w:line="560" w:lineRule="exact"/>
        <w:ind w:firstLine="600"/>
        <w:rPr>
          <w:rFonts w:hint="eastAsia" w:ascii="黑体" w:hAnsi="黑体" w:eastAsia="黑体" w:cs="黑体"/>
          <w:color w:val="auto"/>
          <w:sz w:val="32"/>
          <w:szCs w:val="32"/>
        </w:rPr>
      </w:pPr>
      <w:r>
        <w:rPr>
          <w:rFonts w:hint="eastAsia" w:ascii="黑体" w:hAnsi="黑体" w:eastAsia="黑体" w:cs="黑体"/>
          <w:color w:val="auto"/>
          <w:sz w:val="32"/>
          <w:szCs w:val="32"/>
        </w:rPr>
        <w:t>一、基本信息</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山东省工程研究中心名称。拟组建的省工程研究中心名称。</w:t>
      </w:r>
      <w:r>
        <w:rPr>
          <w:rFonts w:hint="eastAsia" w:ascii="仿宋_GB2312" w:hAnsi="仿宋_GB2312" w:eastAsia="仿宋_GB2312" w:cs="仿宋_GB2312"/>
          <w:color w:val="auto"/>
          <w:kern w:val="0"/>
          <w:sz w:val="32"/>
          <w:szCs w:val="32"/>
        </w:rPr>
        <w:t>对于以法人实体运行的工程研究中心，需在此表上加盖公章；对于以非法人实体运行的工程研究中心，需加盖依托单位公章。</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依托单位。山东省工程研究中心是由研究开发能力和综合实力较强的企业、高校、科研院所等企事业单位，共同设立的创新联合体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分为依托单位和共建单位</w:t>
      </w:r>
      <w:bookmarkStart w:id="0" w:name="_GoBack"/>
      <w:bookmarkEnd w:id="0"/>
      <w:r>
        <w:rPr>
          <w:rFonts w:hint="eastAsia" w:ascii="仿宋_GB2312" w:hAnsi="仿宋_GB2312" w:eastAsia="仿宋_GB2312" w:cs="仿宋_GB2312"/>
          <w:color w:val="auto"/>
          <w:kern w:val="0"/>
          <w:sz w:val="32"/>
          <w:szCs w:val="32"/>
        </w:rPr>
        <w:t>。工程研究中心依托单位须为山东省内注册的独立法人，可以是企业，也可以是高校或科研院所。</w:t>
      </w:r>
    </w:p>
    <w:p>
      <w:pPr>
        <w:widowControl/>
        <w:adjustRightInd w:val="0"/>
        <w:snapToGrid w:val="0"/>
        <w:spacing w:line="560" w:lineRule="exact"/>
        <w:ind w:firstLine="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共建单位。联合依托单位合作共建工程研究中心的企业、高校、科研院所等企事业单位。共建单位与</w:t>
      </w:r>
      <w:r>
        <w:rPr>
          <w:rFonts w:hint="eastAsia" w:ascii="仿宋_GB2312" w:hAnsi="仿宋_GB2312" w:eastAsia="仿宋_GB2312" w:cs="仿宋_GB2312"/>
          <w:color w:val="auto"/>
          <w:kern w:val="0"/>
          <w:sz w:val="32"/>
          <w:szCs w:val="32"/>
          <w:lang w:val="en-US" w:eastAsia="zh-CN"/>
        </w:rPr>
        <w:t>依托</w:t>
      </w:r>
      <w:r>
        <w:rPr>
          <w:rFonts w:hint="eastAsia" w:ascii="仿宋_GB2312" w:hAnsi="仿宋_GB2312" w:eastAsia="仿宋_GB2312" w:cs="仿宋_GB2312"/>
          <w:color w:val="auto"/>
          <w:kern w:val="0"/>
          <w:sz w:val="32"/>
          <w:szCs w:val="32"/>
        </w:rPr>
        <w:t>单位在产学研用等</w:t>
      </w:r>
      <w:r>
        <w:rPr>
          <w:rFonts w:hint="eastAsia" w:ascii="仿宋_GB2312" w:hAnsi="仿宋_GB2312" w:eastAsia="仿宋_GB2312" w:cs="仿宋_GB2312"/>
          <w:b/>
          <w:bCs/>
          <w:color w:val="auto"/>
          <w:kern w:val="0"/>
          <w:sz w:val="32"/>
          <w:szCs w:val="32"/>
        </w:rPr>
        <w:t>方面须具有密切相关性、协同性</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但应为非关联单位</w:t>
      </w:r>
      <w:r>
        <w:rPr>
          <w:rFonts w:hint="eastAsia" w:ascii="仿宋_GB2312" w:hAnsi="仿宋_GB2312" w:eastAsia="仿宋_GB2312" w:cs="仿宋_GB2312"/>
          <w:color w:val="auto"/>
          <w:kern w:val="0"/>
          <w:sz w:val="32"/>
          <w:szCs w:val="32"/>
        </w:rPr>
        <w:t>。</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行业领域、行业细分领域。“行业领域”对照《国民经济行业分类》中的“大类”填写（类别名称及代码），“行业细分领域”对照《国民经济行业分类》中的“中类”填写（类别名称及代码）。</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战略性新兴产业行业领域、细分方向。“战略性新兴产业行业领域”对照《</w:t>
      </w:r>
      <w:r>
        <w:rPr>
          <w:rFonts w:hint="eastAsia" w:ascii="仿宋_GB2312" w:hAnsi="仿宋_GB2312" w:eastAsia="仿宋_GB2312" w:cs="仿宋_GB2312"/>
          <w:color w:val="auto"/>
          <w:kern w:val="0"/>
          <w:sz w:val="32"/>
          <w:szCs w:val="32"/>
          <w:lang w:val="en-US" w:eastAsia="zh-CN"/>
        </w:rPr>
        <w:t>工业</w:t>
      </w:r>
      <w:r>
        <w:rPr>
          <w:rFonts w:hint="eastAsia" w:ascii="仿宋_GB2312" w:hAnsi="仿宋_GB2312" w:eastAsia="仿宋_GB2312" w:cs="仿宋_GB2312"/>
          <w:color w:val="auto"/>
          <w:kern w:val="0"/>
          <w:sz w:val="32"/>
          <w:szCs w:val="32"/>
        </w:rPr>
        <w:t>战略性新兴产业分类</w:t>
      </w:r>
      <w:r>
        <w:rPr>
          <w:rFonts w:hint="eastAsia" w:ascii="仿宋_GB2312" w:hAnsi="仿宋_GB2312" w:eastAsia="仿宋_GB2312" w:cs="仿宋_GB2312"/>
          <w:color w:val="auto"/>
          <w:kern w:val="0"/>
          <w:sz w:val="32"/>
          <w:szCs w:val="32"/>
          <w:lang w:val="en-US" w:eastAsia="zh-CN"/>
        </w:rPr>
        <w:t>目录</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）》中的“二级目录”填写（类别名称），“细分领域”对照《</w:t>
      </w:r>
      <w:r>
        <w:rPr>
          <w:rFonts w:hint="eastAsia" w:ascii="仿宋_GB2312" w:hAnsi="仿宋_GB2312" w:eastAsia="仿宋_GB2312" w:cs="仿宋_GB2312"/>
          <w:color w:val="auto"/>
          <w:kern w:val="0"/>
          <w:sz w:val="32"/>
          <w:szCs w:val="32"/>
          <w:lang w:val="en-US" w:eastAsia="zh-CN"/>
        </w:rPr>
        <w:t>工业</w:t>
      </w:r>
      <w:r>
        <w:rPr>
          <w:rFonts w:hint="eastAsia" w:ascii="仿宋_GB2312" w:hAnsi="仿宋_GB2312" w:eastAsia="仿宋_GB2312" w:cs="仿宋_GB2312"/>
          <w:color w:val="auto"/>
          <w:kern w:val="0"/>
          <w:sz w:val="32"/>
          <w:szCs w:val="32"/>
        </w:rPr>
        <w:t>战略性新兴产业分类</w:t>
      </w:r>
      <w:r>
        <w:rPr>
          <w:rFonts w:hint="eastAsia" w:ascii="仿宋_GB2312" w:hAnsi="仿宋_GB2312" w:eastAsia="仿宋_GB2312" w:cs="仿宋_GB2312"/>
          <w:color w:val="auto"/>
          <w:kern w:val="0"/>
          <w:sz w:val="32"/>
          <w:szCs w:val="32"/>
          <w:lang w:val="en-US" w:eastAsia="zh-CN"/>
        </w:rPr>
        <w:t>目录</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）》中的“三级目录”填写（类别名称）。</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报告年度。</w:t>
      </w:r>
      <w:r>
        <w:rPr>
          <w:rFonts w:hint="eastAsia" w:ascii="仿宋_GB2312" w:hAnsi="仿宋_GB2312" w:eastAsia="仿宋_GB2312" w:cs="仿宋_GB2312"/>
          <w:color w:val="auto"/>
          <w:kern w:val="0"/>
          <w:sz w:val="32"/>
          <w:szCs w:val="32"/>
          <w:lang w:val="en-US" w:eastAsia="zh-CN"/>
        </w:rPr>
        <w:t>此次申请山东省工程研究中心的</w:t>
      </w:r>
      <w:r>
        <w:rPr>
          <w:rFonts w:hint="eastAsia" w:ascii="仿宋_GB2312" w:hAnsi="仿宋_GB2312" w:eastAsia="仿宋_GB2312" w:cs="仿宋_GB2312"/>
          <w:color w:val="auto"/>
          <w:kern w:val="0"/>
          <w:sz w:val="32"/>
          <w:szCs w:val="32"/>
        </w:rPr>
        <w:t>报告年度统计范围指202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年1月1日至202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年12月31日。</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7.工程中心指标数据的统计范围。工程中心以法人形式运行的，数据统计范围为该法人单位；以非法人形式运行的，数据统计范围为该工程中心所属人员开展的、与工程中心目标定位相关的工作。</w:t>
      </w:r>
      <w:r>
        <w:rPr>
          <w:rFonts w:hint="eastAsia" w:ascii="仿宋_GB2312" w:hAnsi="仿宋_GB2312" w:eastAsia="仿宋_GB2312" w:cs="仿宋_GB2312"/>
          <w:b/>
          <w:bCs/>
          <w:color w:val="auto"/>
          <w:kern w:val="0"/>
          <w:sz w:val="32"/>
          <w:szCs w:val="32"/>
          <w:lang w:val="en-US" w:eastAsia="zh-CN"/>
        </w:rPr>
        <w:t>不得将</w:t>
      </w:r>
      <w:r>
        <w:rPr>
          <w:rFonts w:hint="eastAsia" w:ascii="仿宋_GB2312" w:hAnsi="仿宋_GB2312" w:eastAsia="仿宋_GB2312" w:cs="仿宋_GB2312"/>
          <w:b/>
          <w:bCs/>
          <w:color w:val="auto"/>
          <w:kern w:val="0"/>
          <w:sz w:val="32"/>
          <w:szCs w:val="32"/>
        </w:rPr>
        <w:t>依托单位及共建单位以外的</w:t>
      </w:r>
      <w:r>
        <w:rPr>
          <w:rFonts w:hint="eastAsia" w:ascii="仿宋_GB2312" w:hAnsi="仿宋_GB2312" w:eastAsia="仿宋_GB2312" w:cs="仿宋_GB2312"/>
          <w:b/>
          <w:bCs/>
          <w:color w:val="auto"/>
          <w:kern w:val="0"/>
          <w:sz w:val="32"/>
          <w:szCs w:val="32"/>
          <w:lang w:val="en-US" w:eastAsia="zh-CN"/>
        </w:rPr>
        <w:t>无关</w:t>
      </w:r>
      <w:r>
        <w:rPr>
          <w:rFonts w:hint="eastAsia" w:ascii="仿宋_GB2312" w:hAnsi="仿宋_GB2312" w:eastAsia="仿宋_GB2312" w:cs="仿宋_GB2312"/>
          <w:b/>
          <w:bCs/>
          <w:color w:val="auto"/>
          <w:kern w:val="0"/>
          <w:sz w:val="32"/>
          <w:szCs w:val="32"/>
        </w:rPr>
        <w:t>单位</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无关人员或无关工作纳入统计范围。</w:t>
      </w:r>
    </w:p>
    <w:p>
      <w:pPr>
        <w:pStyle w:val="3"/>
        <w:adjustRightInd w:val="0"/>
        <w:snapToGrid w:val="0"/>
        <w:spacing w:line="560" w:lineRule="exact"/>
        <w:ind w:firstLine="6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二、评价指标</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全部在研项目数。指依托单位或共建单位在</w:t>
      </w:r>
      <w:r>
        <w:rPr>
          <w:rFonts w:hint="eastAsia" w:ascii="仿宋_GB2312" w:hAnsi="仿宋_GB2312" w:eastAsia="仿宋_GB2312" w:cs="仿宋_GB2312"/>
          <w:b/>
          <w:bCs/>
          <w:color w:val="auto"/>
          <w:kern w:val="0"/>
          <w:sz w:val="32"/>
          <w:szCs w:val="32"/>
        </w:rPr>
        <w:t>报告年度内</w:t>
      </w:r>
      <w:r>
        <w:rPr>
          <w:rFonts w:hint="eastAsia" w:ascii="仿宋_GB2312" w:hAnsi="仿宋_GB2312" w:eastAsia="仿宋_GB2312" w:cs="仿宋_GB2312"/>
          <w:color w:val="auto"/>
          <w:kern w:val="0"/>
          <w:sz w:val="32"/>
          <w:szCs w:val="32"/>
        </w:rPr>
        <w:t>立项、持续开展或结题验收的研发项目数。主要包括新产品开发项目数、新技术开发项目数、新工艺开发项目数、新服务开发项目数与基础研究项目数之和。不包括委托外单位进行的研发项目数。</w:t>
      </w:r>
      <w:r>
        <w:rPr>
          <w:rFonts w:hint="eastAsia" w:ascii="仿宋_GB2312" w:hAnsi="仿宋_GB2312" w:eastAsia="仿宋_GB2312" w:cs="仿宋_GB2312"/>
          <w:color w:val="auto"/>
          <w:kern w:val="0"/>
          <w:sz w:val="32"/>
          <w:szCs w:val="32"/>
          <w:lang w:val="en-US" w:eastAsia="zh-CN"/>
        </w:rPr>
        <w:t>提供的项目须与省工程研究中心研究方向相关。</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省级</w:t>
      </w:r>
      <w:r>
        <w:rPr>
          <w:rFonts w:hint="eastAsia" w:ascii="仿宋_GB2312" w:hAnsi="仿宋_GB2312" w:eastAsia="仿宋_GB2312" w:cs="仿宋_GB2312"/>
          <w:color w:val="auto"/>
          <w:kern w:val="0"/>
          <w:sz w:val="32"/>
          <w:szCs w:val="32"/>
          <w:lang w:val="en-US" w:eastAsia="zh-CN"/>
        </w:rPr>
        <w:t>以上</w:t>
      </w:r>
      <w:r>
        <w:rPr>
          <w:rFonts w:hint="eastAsia" w:ascii="仿宋_GB2312" w:hAnsi="仿宋_GB2312" w:eastAsia="仿宋_GB2312" w:cs="仿宋_GB2312"/>
          <w:color w:val="auto"/>
          <w:kern w:val="0"/>
          <w:sz w:val="32"/>
          <w:szCs w:val="32"/>
        </w:rPr>
        <w:t>科技项目数。指依托单位或共建单位</w:t>
      </w:r>
      <w:r>
        <w:rPr>
          <w:rFonts w:hint="eastAsia" w:ascii="仿宋_GB2312" w:hAnsi="仿宋_GB2312" w:eastAsia="仿宋_GB2312" w:cs="仿宋_GB2312"/>
          <w:color w:val="auto"/>
          <w:kern w:val="0"/>
          <w:sz w:val="32"/>
          <w:szCs w:val="32"/>
          <w:lang w:val="en-US" w:eastAsia="zh-CN"/>
        </w:rPr>
        <w:t>在</w:t>
      </w:r>
      <w:r>
        <w:rPr>
          <w:rFonts w:hint="eastAsia" w:ascii="仿宋_GB2312" w:hAnsi="仿宋_GB2312" w:eastAsia="仿宋_GB2312" w:cs="仿宋_GB2312"/>
          <w:b/>
          <w:bCs/>
          <w:color w:val="auto"/>
          <w:kern w:val="0"/>
          <w:sz w:val="32"/>
          <w:szCs w:val="32"/>
          <w:lang w:val="en-US" w:eastAsia="zh-CN"/>
        </w:rPr>
        <w:t>报告年度内</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全部在研项目中，由</w:t>
      </w:r>
      <w:r>
        <w:rPr>
          <w:rFonts w:hint="eastAsia" w:ascii="仿宋_GB2312" w:hAnsi="仿宋_GB2312" w:eastAsia="仿宋_GB2312" w:cs="仿宋_GB2312"/>
          <w:color w:val="auto"/>
          <w:kern w:val="0"/>
          <w:sz w:val="32"/>
          <w:szCs w:val="32"/>
          <w:lang w:val="en-US" w:eastAsia="zh-CN"/>
        </w:rPr>
        <w:t>国家或</w:t>
      </w:r>
      <w:r>
        <w:rPr>
          <w:rFonts w:hint="eastAsia" w:ascii="仿宋_GB2312" w:hAnsi="仿宋_GB2312" w:eastAsia="仿宋_GB2312" w:cs="仿宋_GB2312"/>
          <w:color w:val="auto"/>
          <w:kern w:val="0"/>
          <w:sz w:val="32"/>
          <w:szCs w:val="32"/>
        </w:rPr>
        <w:t>省政府组成部门、直属机构直接委托或批复的科技项目。主要包括科技重大专项、重点研发计划、技术创新引导专项（基金）、基地和人才专项，以及</w:t>
      </w:r>
      <w:r>
        <w:rPr>
          <w:rFonts w:hint="eastAsia" w:ascii="仿宋_GB2312" w:hAnsi="仿宋_GB2312" w:eastAsia="仿宋_GB2312" w:cs="仿宋_GB2312"/>
          <w:color w:val="auto"/>
          <w:kern w:val="0"/>
          <w:sz w:val="32"/>
          <w:szCs w:val="32"/>
          <w:lang w:val="en-US" w:eastAsia="zh-CN"/>
        </w:rPr>
        <w:t>国家或</w:t>
      </w:r>
      <w:r>
        <w:rPr>
          <w:rFonts w:hint="eastAsia" w:ascii="仿宋_GB2312" w:hAnsi="仿宋_GB2312" w:eastAsia="仿宋_GB2312" w:cs="仿宋_GB2312"/>
          <w:color w:val="auto"/>
          <w:kern w:val="0"/>
          <w:sz w:val="32"/>
          <w:szCs w:val="32"/>
        </w:rPr>
        <w:t>省有关部门支持的为解决产业“卡脖子”技术问题开展的重大项目等。</w:t>
      </w:r>
      <w:r>
        <w:rPr>
          <w:rFonts w:hint="eastAsia" w:ascii="仿宋_GB2312" w:hAnsi="仿宋_GB2312" w:eastAsia="仿宋_GB2312" w:cs="仿宋_GB2312"/>
          <w:color w:val="auto"/>
          <w:kern w:val="0"/>
          <w:sz w:val="32"/>
          <w:szCs w:val="32"/>
          <w:lang w:val="en-US" w:eastAsia="zh-CN"/>
        </w:rPr>
        <w:t>提供的项目须与省工程研究中心研究方向相关。</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3.省级以上委托任务经费。指</w:t>
      </w:r>
      <w:r>
        <w:rPr>
          <w:rFonts w:hint="eastAsia" w:ascii="仿宋_GB2312" w:hAnsi="仿宋_GB2312" w:eastAsia="仿宋_GB2312" w:cs="仿宋_GB2312"/>
          <w:b/>
          <w:bCs/>
          <w:color w:val="auto"/>
          <w:kern w:val="0"/>
          <w:sz w:val="32"/>
          <w:szCs w:val="32"/>
          <w:lang w:val="en-US" w:eastAsia="zh-CN"/>
        </w:rPr>
        <w:t>报告年度内</w:t>
      </w:r>
      <w:r>
        <w:rPr>
          <w:rFonts w:hint="eastAsia" w:ascii="仿宋_GB2312" w:hAnsi="仿宋_GB2312" w:eastAsia="仿宋_GB2312" w:cs="仿宋_GB2312"/>
          <w:color w:val="auto"/>
          <w:kern w:val="0"/>
          <w:sz w:val="32"/>
          <w:szCs w:val="32"/>
        </w:rPr>
        <w:t>依托单位或共建单位</w:t>
      </w:r>
      <w:r>
        <w:rPr>
          <w:rFonts w:hint="eastAsia" w:ascii="仿宋_GB2312" w:hAnsi="仿宋_GB2312" w:eastAsia="仿宋_GB2312" w:cs="仿宋_GB2312"/>
          <w:color w:val="auto"/>
          <w:kern w:val="0"/>
          <w:sz w:val="32"/>
          <w:szCs w:val="32"/>
          <w:lang w:val="en-US" w:eastAsia="zh-CN"/>
        </w:rPr>
        <w:t>研发经费中来自于省级以上有关部门委托的项目经费总额。</w:t>
      </w:r>
    </w:p>
    <w:p>
      <w:pPr>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4.主持和</w:t>
      </w:r>
      <w:r>
        <w:rPr>
          <w:rFonts w:hint="eastAsia" w:ascii="仿宋_GB2312" w:hAnsi="仿宋_GB2312" w:eastAsia="仿宋_GB2312" w:cs="仿宋_GB2312"/>
          <w:color w:val="auto"/>
          <w:kern w:val="0"/>
          <w:sz w:val="32"/>
          <w:szCs w:val="32"/>
        </w:rPr>
        <w:t>参加制定的国际、国内、行业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团体</w:t>
      </w:r>
      <w:r>
        <w:rPr>
          <w:rFonts w:hint="eastAsia" w:ascii="仿宋_GB2312" w:hAnsi="仿宋_GB2312" w:eastAsia="仿宋_GB2312" w:cs="仿宋_GB2312"/>
          <w:color w:val="auto"/>
          <w:kern w:val="0"/>
          <w:sz w:val="32"/>
          <w:szCs w:val="32"/>
        </w:rPr>
        <w:t>标准数。指</w:t>
      </w:r>
      <w:r>
        <w:rPr>
          <w:rFonts w:hint="eastAsia" w:ascii="仿宋_GB2312" w:hAnsi="仿宋_GB2312" w:eastAsia="仿宋_GB2312" w:cs="仿宋_GB2312"/>
          <w:color w:val="auto"/>
          <w:kern w:val="0"/>
          <w:sz w:val="32"/>
          <w:szCs w:val="32"/>
          <w:lang w:val="en-US" w:eastAsia="zh-CN"/>
        </w:rPr>
        <w:t>在</w:t>
      </w:r>
      <w:r>
        <w:rPr>
          <w:rFonts w:hint="eastAsia" w:ascii="仿宋_GB2312" w:hAnsi="仿宋_GB2312" w:eastAsia="仿宋_GB2312" w:cs="仿宋_GB2312"/>
          <w:b/>
          <w:bCs/>
          <w:color w:val="auto"/>
          <w:kern w:val="0"/>
          <w:sz w:val="32"/>
          <w:szCs w:val="32"/>
        </w:rPr>
        <w:t>报告年度</w:t>
      </w:r>
      <w:r>
        <w:rPr>
          <w:rFonts w:hint="eastAsia" w:ascii="仿宋_GB2312" w:hAnsi="仿宋_GB2312" w:eastAsia="仿宋_GB2312" w:cs="仿宋_GB2312"/>
          <w:b/>
          <w:bCs/>
          <w:color w:val="auto"/>
          <w:kern w:val="0"/>
          <w:sz w:val="32"/>
          <w:szCs w:val="32"/>
          <w:lang w:val="en-US" w:eastAsia="zh-CN"/>
        </w:rPr>
        <w:t>近三年</w:t>
      </w:r>
      <w:r>
        <w:rPr>
          <w:rFonts w:hint="eastAsia" w:ascii="仿宋_GB2312" w:hAnsi="仿宋_GB2312" w:eastAsia="仿宋_GB2312" w:cs="仿宋_GB2312"/>
          <w:color w:val="auto"/>
          <w:kern w:val="0"/>
          <w:sz w:val="32"/>
          <w:szCs w:val="32"/>
          <w:lang w:val="en-US" w:eastAsia="zh-CN"/>
        </w:rPr>
        <w:t>（2022年1月1日—2024年12月31日），依托单位或共建单位</w:t>
      </w:r>
      <w:r>
        <w:rPr>
          <w:rFonts w:hint="eastAsia" w:ascii="仿宋_GB2312" w:hAnsi="仿宋_GB2312" w:eastAsia="仿宋_GB2312" w:cs="仿宋_GB2312"/>
          <w:color w:val="auto"/>
          <w:kern w:val="0"/>
          <w:sz w:val="32"/>
          <w:szCs w:val="32"/>
        </w:rPr>
        <w:t>主持或参加制定，目前仍有效执行的国际、国家、行业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团体</w:t>
      </w:r>
      <w:r>
        <w:rPr>
          <w:rFonts w:hint="eastAsia" w:ascii="仿宋_GB2312" w:hAnsi="仿宋_GB2312" w:eastAsia="仿宋_GB2312" w:cs="仿宋_GB2312"/>
          <w:color w:val="auto"/>
          <w:kern w:val="0"/>
          <w:sz w:val="32"/>
          <w:szCs w:val="32"/>
        </w:rPr>
        <w:t>标准的数量。</w:t>
      </w:r>
      <w:r>
        <w:rPr>
          <w:rFonts w:hint="eastAsia" w:ascii="仿宋_GB2312" w:hAnsi="仿宋_GB2312" w:eastAsia="仿宋_GB2312" w:cs="仿宋_GB2312"/>
          <w:color w:val="auto"/>
          <w:kern w:val="0"/>
          <w:sz w:val="32"/>
          <w:szCs w:val="32"/>
          <w:lang w:val="en-US" w:eastAsia="zh-CN"/>
        </w:rPr>
        <w:t>提供的标准须与省工程研究中心研究方向相关。</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通过国家（国际组织）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省</w:t>
      </w:r>
      <w:r>
        <w:rPr>
          <w:rFonts w:hint="eastAsia" w:ascii="仿宋_GB2312" w:hAnsi="仿宋_GB2312" w:eastAsia="仿宋_GB2312" w:cs="仿宋_GB2312"/>
          <w:color w:val="auto"/>
          <w:kern w:val="0"/>
          <w:sz w:val="32"/>
          <w:szCs w:val="32"/>
        </w:rPr>
        <w:t>认证的实验室和检测机构数。</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color w:val="auto"/>
          <w:kern w:val="0"/>
          <w:sz w:val="32"/>
          <w:szCs w:val="32"/>
        </w:rPr>
        <w:t>依托单位或共建单位通过国家有关部门和国际组织认证认可且</w:t>
      </w:r>
      <w:r>
        <w:rPr>
          <w:rFonts w:hint="eastAsia" w:ascii="仿宋_GB2312" w:hAnsi="仿宋_GB2312" w:eastAsia="仿宋_GB2312" w:cs="仿宋_GB2312"/>
          <w:b/>
          <w:bCs/>
          <w:color w:val="auto"/>
          <w:kern w:val="0"/>
          <w:sz w:val="32"/>
          <w:szCs w:val="32"/>
          <w:lang w:val="en-US" w:eastAsia="zh-CN"/>
        </w:rPr>
        <w:t>报告年度</w:t>
      </w:r>
      <w:r>
        <w:rPr>
          <w:rFonts w:hint="eastAsia" w:ascii="仿宋_GB2312" w:hAnsi="仿宋_GB2312" w:eastAsia="仿宋_GB2312" w:cs="仿宋_GB2312"/>
          <w:b/>
          <w:bCs/>
          <w:color w:val="auto"/>
          <w:kern w:val="0"/>
          <w:sz w:val="32"/>
          <w:szCs w:val="32"/>
        </w:rPr>
        <w:t>仍在有效期内</w:t>
      </w:r>
      <w:r>
        <w:rPr>
          <w:rFonts w:hint="eastAsia" w:ascii="仿宋_GB2312" w:hAnsi="仿宋_GB2312" w:eastAsia="仿宋_GB2312" w:cs="仿宋_GB2312"/>
          <w:color w:val="auto"/>
          <w:kern w:val="0"/>
          <w:sz w:val="32"/>
          <w:szCs w:val="32"/>
        </w:rPr>
        <w:t>的实验室、检验检测机构数。主要包括经中国合格评定国家认可委员会（CNAS）</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国家认证认可监督管理委员会或省市场监督管理局（CMA）、</w:t>
      </w:r>
      <w:r>
        <w:rPr>
          <w:rFonts w:hint="eastAsia" w:ascii="仿宋_GB2312" w:hAnsi="仿宋_GB2312" w:eastAsia="仿宋_GB2312" w:cs="仿宋_GB2312"/>
          <w:color w:val="auto"/>
          <w:kern w:val="0"/>
          <w:sz w:val="32"/>
          <w:szCs w:val="32"/>
        </w:rPr>
        <w:t>国际实验室认可组织（ILAC）认可的相关实验室和检测机构</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被受理的国内</w:t>
      </w:r>
      <w:r>
        <w:rPr>
          <w:rFonts w:hint="eastAsia" w:ascii="仿宋_GB2312" w:hAnsi="仿宋_GB2312" w:eastAsia="仿宋_GB2312" w:cs="仿宋_GB2312"/>
          <w:color w:val="auto"/>
          <w:kern w:val="0"/>
          <w:sz w:val="32"/>
          <w:szCs w:val="32"/>
          <w:lang w:val="en-US" w:eastAsia="zh-CN"/>
        </w:rPr>
        <w:t>发明</w:t>
      </w:r>
      <w:r>
        <w:rPr>
          <w:rFonts w:hint="eastAsia" w:ascii="仿宋_GB2312" w:hAnsi="仿宋_GB2312" w:eastAsia="仿宋_GB2312" w:cs="仿宋_GB2312"/>
          <w:color w:val="auto"/>
          <w:kern w:val="0"/>
          <w:sz w:val="32"/>
          <w:szCs w:val="32"/>
        </w:rPr>
        <w:t>专利申请数。</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rPr>
        <w:t>报告年度内</w:t>
      </w:r>
      <w:r>
        <w:rPr>
          <w:rFonts w:hint="eastAsia" w:ascii="仿宋_GB2312" w:hAnsi="仿宋_GB2312" w:eastAsia="仿宋_GB2312" w:cs="仿宋_GB2312"/>
          <w:color w:val="auto"/>
          <w:kern w:val="0"/>
          <w:sz w:val="32"/>
          <w:szCs w:val="32"/>
        </w:rPr>
        <w:t>，依托单位或共建单位向知识产权行政部门提出</w:t>
      </w:r>
      <w:r>
        <w:rPr>
          <w:rFonts w:hint="eastAsia" w:ascii="仿宋_GB2312" w:hAnsi="仿宋_GB2312" w:eastAsia="仿宋_GB2312" w:cs="仿宋_GB2312"/>
          <w:color w:val="auto"/>
          <w:kern w:val="0"/>
          <w:sz w:val="32"/>
          <w:szCs w:val="32"/>
          <w:lang w:val="en-US" w:eastAsia="zh-CN"/>
        </w:rPr>
        <w:t>发明</w:t>
      </w:r>
      <w:r>
        <w:rPr>
          <w:rFonts w:hint="eastAsia" w:ascii="仿宋_GB2312" w:hAnsi="仿宋_GB2312" w:eastAsia="仿宋_GB2312" w:cs="仿宋_GB2312"/>
          <w:color w:val="auto"/>
          <w:kern w:val="0"/>
          <w:sz w:val="32"/>
          <w:szCs w:val="32"/>
        </w:rPr>
        <w:t>专利申请并被受理后，按规定缴足申请费，符合进入初步审查阶段条件的专利件数。当年被受理的植物新品种、国家级农作物品种、国家新药、国家一级中药保护品种、集成电路布图设计专有权视同发明专利。</w:t>
      </w:r>
      <w:r>
        <w:rPr>
          <w:rFonts w:hint="eastAsia" w:ascii="仿宋_GB2312" w:hAnsi="仿宋_GB2312" w:eastAsia="仿宋_GB2312" w:cs="仿宋_GB2312"/>
          <w:color w:val="auto"/>
          <w:kern w:val="0"/>
          <w:sz w:val="32"/>
          <w:szCs w:val="32"/>
          <w:lang w:val="en-US" w:eastAsia="zh-CN"/>
        </w:rPr>
        <w:t>提供的发明专利申请须与省工程研究中心研究方向相关。</w:t>
      </w:r>
    </w:p>
    <w:p>
      <w:pPr>
        <w:keepNext w:val="0"/>
        <w:keepLines w:val="0"/>
        <w:widowControl/>
        <w:suppressLineNumbers w:val="0"/>
        <w:ind w:firstLine="632"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7.PCT专利申请数。指</w:t>
      </w:r>
      <w:r>
        <w:rPr>
          <w:rFonts w:hint="eastAsia" w:ascii="仿宋_GB2312" w:hAnsi="仿宋_GB2312" w:eastAsia="仿宋_GB2312" w:cs="仿宋_GB2312"/>
          <w:b/>
          <w:bCs/>
          <w:color w:val="auto"/>
          <w:kern w:val="0"/>
          <w:sz w:val="32"/>
          <w:szCs w:val="32"/>
          <w:lang w:val="en-US" w:eastAsia="zh-CN"/>
        </w:rPr>
        <w:t>报告年度内</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依托单位或共建单位</w:t>
      </w:r>
      <w:r>
        <w:rPr>
          <w:rFonts w:hint="eastAsia" w:ascii="仿宋_GB2312" w:hAnsi="仿宋_GB2312" w:eastAsia="仿宋_GB2312" w:cs="仿宋_GB2312"/>
          <w:color w:val="auto"/>
          <w:kern w:val="0"/>
          <w:sz w:val="32"/>
          <w:szCs w:val="32"/>
          <w:lang w:val="en-US" w:eastAsia="zh-CN"/>
        </w:rPr>
        <w:t>通过世界知识产权组织《专利合作条约》途径提交并被受理的国际专利申请数。</w:t>
      </w:r>
    </w:p>
    <w:p>
      <w:pPr>
        <w:pStyle w:val="3"/>
        <w:adjustRightInd w:val="0"/>
        <w:snapToGrid w:val="0"/>
        <w:spacing w:line="560" w:lineRule="exact"/>
        <w:ind w:firstLine="6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拥有的</w:t>
      </w:r>
      <w:r>
        <w:rPr>
          <w:rFonts w:hint="eastAsia" w:ascii="仿宋_GB2312" w:hAnsi="仿宋_GB2312" w:eastAsia="仿宋_GB2312" w:cs="仿宋_GB2312"/>
          <w:color w:val="auto"/>
          <w:kern w:val="0"/>
          <w:sz w:val="32"/>
          <w:szCs w:val="32"/>
          <w:lang w:val="en-US" w:eastAsia="zh-CN"/>
        </w:rPr>
        <w:t>全部</w:t>
      </w:r>
      <w:r>
        <w:rPr>
          <w:rFonts w:hint="eastAsia" w:ascii="仿宋_GB2312" w:hAnsi="仿宋_GB2312" w:eastAsia="仿宋_GB2312" w:cs="仿宋_GB2312"/>
          <w:color w:val="auto"/>
          <w:kern w:val="0"/>
          <w:sz w:val="32"/>
          <w:szCs w:val="32"/>
        </w:rPr>
        <w:t>有效发明专利数。</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lang w:val="en-US" w:eastAsia="zh-CN"/>
        </w:rPr>
        <w:t>截至</w:t>
      </w:r>
      <w:r>
        <w:rPr>
          <w:rFonts w:hint="eastAsia" w:ascii="仿宋_GB2312" w:hAnsi="仿宋_GB2312" w:eastAsia="仿宋_GB2312" w:cs="仿宋_GB2312"/>
          <w:b/>
          <w:bCs/>
          <w:color w:val="auto"/>
          <w:kern w:val="0"/>
          <w:sz w:val="32"/>
          <w:szCs w:val="32"/>
        </w:rPr>
        <w:t>报告年度期末</w:t>
      </w:r>
      <w:r>
        <w:rPr>
          <w:rFonts w:hint="eastAsia" w:ascii="仿宋_GB2312" w:hAnsi="仿宋_GB2312" w:eastAsia="仿宋_GB2312" w:cs="仿宋_GB2312"/>
          <w:color w:val="auto"/>
          <w:kern w:val="0"/>
          <w:sz w:val="32"/>
          <w:szCs w:val="32"/>
        </w:rPr>
        <w:t xml:space="preserve">，依托单位或共建单位作为专利权人拥有的、经国内外知识产权行政部门授予且在有效期内的发明专利件数。拥有的植物新品种、国家级农作物品种、国家新药、国家一级中药保护品种、集成电路布图设计专有权视同发明专利。 </w:t>
      </w:r>
      <w:r>
        <w:rPr>
          <w:rFonts w:hint="eastAsia" w:ascii="仿宋_GB2312" w:hAnsi="仿宋_GB2312" w:eastAsia="仿宋_GB2312" w:cs="仿宋_GB2312"/>
          <w:color w:val="auto"/>
          <w:kern w:val="0"/>
          <w:sz w:val="32"/>
          <w:szCs w:val="32"/>
          <w:lang w:val="en-US" w:eastAsia="zh-CN"/>
        </w:rPr>
        <w:t>提供的发明专利须与省工程研究中心研究方向相关。</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技术性收入。</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rPr>
        <w:t>报告年度内，</w:t>
      </w:r>
      <w:r>
        <w:rPr>
          <w:rFonts w:hint="eastAsia" w:ascii="仿宋_GB2312" w:hAnsi="仿宋_GB2312" w:eastAsia="仿宋_GB2312" w:cs="仿宋_GB2312"/>
          <w:color w:val="auto"/>
          <w:kern w:val="0"/>
          <w:sz w:val="32"/>
          <w:szCs w:val="32"/>
        </w:rPr>
        <w:t>依托单位或共建单位通过研发和技术创新活动取得的收入总和，包括技术转让收入（指技术创新成果通过技术贸易、技术转让所获得的收入）、技术服务收入（指利用自有资源为外部用户提供技术资料、技术咨询与市场评估、工程技术项目设计、数据处理、测试分析及其他类型的服务所获得的收入）和接受委托研究开发收入（指承担社会各方面委托研究开发、中间试验及新产品开发所获得的收入）。</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专利所有权转让及许可收入。</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rPr>
        <w:t>报告年度内，</w:t>
      </w:r>
      <w:r>
        <w:rPr>
          <w:rFonts w:hint="eastAsia" w:ascii="仿宋_GB2312" w:hAnsi="仿宋_GB2312" w:eastAsia="仿宋_GB2312" w:cs="仿宋_GB2312"/>
          <w:color w:val="auto"/>
          <w:kern w:val="0"/>
          <w:sz w:val="32"/>
          <w:szCs w:val="32"/>
        </w:rPr>
        <w:t xml:space="preserve">依托单位或共建单位向外单位转让专利所有权或允许专利技术由被许可单位使用而获得的收入。包括当年从被转让方或被许可方获得的一次性付款和分期付款收入，以及利润分成、股息收入等。 </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研究与试验发展经费支出。</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rPr>
        <w:t>报告年度内，</w:t>
      </w:r>
      <w:r>
        <w:rPr>
          <w:rFonts w:hint="eastAsia" w:ascii="仿宋_GB2312" w:hAnsi="仿宋_GB2312" w:eastAsia="仿宋_GB2312" w:cs="仿宋_GB2312"/>
          <w:color w:val="auto"/>
          <w:kern w:val="0"/>
          <w:sz w:val="32"/>
          <w:szCs w:val="32"/>
        </w:rPr>
        <w:t>依托单位或共建单位为实施基础研究、应用研究和试验发展活动而实际发生的全部经费支出，包括内部的研发经费支出，当年为建造和购置与研发活动相关的固定资产花费的实际支出和委托外单位开展研发的经费支出。不包括生产性活动支出、归还贷款支出。</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研究与试验发展人员数。</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lang w:val="en-US" w:eastAsia="zh-CN"/>
        </w:rPr>
        <w:t>截至</w:t>
      </w:r>
      <w:r>
        <w:rPr>
          <w:rFonts w:hint="eastAsia" w:ascii="仿宋_GB2312" w:hAnsi="仿宋_GB2312" w:eastAsia="仿宋_GB2312" w:cs="仿宋_GB2312"/>
          <w:b/>
          <w:bCs/>
          <w:color w:val="auto"/>
          <w:kern w:val="0"/>
          <w:sz w:val="32"/>
          <w:szCs w:val="32"/>
        </w:rPr>
        <w:t>报告年度</w:t>
      </w:r>
      <w:r>
        <w:rPr>
          <w:rFonts w:hint="eastAsia" w:ascii="仿宋_GB2312" w:hAnsi="仿宋_GB2312" w:eastAsia="仿宋_GB2312" w:cs="仿宋_GB2312"/>
          <w:b/>
          <w:bCs/>
          <w:color w:val="auto"/>
          <w:kern w:val="0"/>
          <w:sz w:val="32"/>
          <w:szCs w:val="32"/>
          <w:lang w:val="en-US" w:eastAsia="zh-CN"/>
        </w:rPr>
        <w:t>期</w:t>
      </w:r>
      <w:r>
        <w:rPr>
          <w:rFonts w:hint="eastAsia" w:ascii="仿宋_GB2312" w:hAnsi="仿宋_GB2312" w:eastAsia="仿宋_GB2312" w:cs="仿宋_GB2312"/>
          <w:b/>
          <w:bCs/>
          <w:color w:val="auto"/>
          <w:kern w:val="0"/>
          <w:sz w:val="32"/>
          <w:szCs w:val="32"/>
        </w:rPr>
        <w:t>末，</w:t>
      </w:r>
      <w:r>
        <w:rPr>
          <w:rFonts w:hint="eastAsia" w:ascii="仿宋_GB2312" w:hAnsi="仿宋_GB2312" w:eastAsia="仿宋_GB2312" w:cs="仿宋_GB2312"/>
          <w:b w:val="0"/>
          <w:bCs w:val="0"/>
          <w:color w:val="auto"/>
          <w:kern w:val="0"/>
          <w:sz w:val="32"/>
          <w:szCs w:val="32"/>
          <w:lang w:val="en-US" w:eastAsia="zh-CN"/>
        </w:rPr>
        <w:t>在</w:t>
      </w:r>
      <w:r>
        <w:rPr>
          <w:rFonts w:hint="eastAsia" w:ascii="仿宋_GB2312" w:hAnsi="仿宋_GB2312" w:eastAsia="仿宋_GB2312" w:cs="仿宋_GB2312"/>
          <w:color w:val="auto"/>
          <w:kern w:val="0"/>
          <w:sz w:val="32"/>
          <w:szCs w:val="32"/>
        </w:rPr>
        <w:t>工程研究中心中从事基础研究、应用研究和试验发展活动的人员，以及与上述三类研发活动相关的管理人员和直接服务人员，即直接为研发活动提供资料文献、材料供应、设备维护等服务的人员。不包括为研发活动提供间接服务的人员，如餐饮服务、安保人员等。</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高级专家人数。</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lang w:val="en-US" w:eastAsia="zh-CN"/>
        </w:rPr>
        <w:t>截至</w:t>
      </w:r>
      <w:r>
        <w:rPr>
          <w:rFonts w:hint="eastAsia" w:ascii="仿宋_GB2312" w:hAnsi="仿宋_GB2312" w:eastAsia="仿宋_GB2312" w:cs="仿宋_GB2312"/>
          <w:b/>
          <w:bCs/>
          <w:color w:val="auto"/>
          <w:kern w:val="0"/>
          <w:sz w:val="32"/>
          <w:szCs w:val="32"/>
        </w:rPr>
        <w:t>报告年度</w:t>
      </w:r>
      <w:r>
        <w:rPr>
          <w:rFonts w:hint="eastAsia" w:ascii="仿宋_GB2312" w:hAnsi="仿宋_GB2312" w:eastAsia="仿宋_GB2312" w:cs="仿宋_GB2312"/>
          <w:b/>
          <w:bCs/>
          <w:color w:val="auto"/>
          <w:kern w:val="0"/>
          <w:sz w:val="32"/>
          <w:szCs w:val="32"/>
          <w:lang w:val="en-US" w:eastAsia="zh-CN"/>
        </w:rPr>
        <w:t>期</w:t>
      </w:r>
      <w:r>
        <w:rPr>
          <w:rFonts w:hint="eastAsia" w:ascii="仿宋_GB2312" w:hAnsi="仿宋_GB2312" w:eastAsia="仿宋_GB2312" w:cs="仿宋_GB2312"/>
          <w:b/>
          <w:bCs/>
          <w:color w:val="auto"/>
          <w:kern w:val="0"/>
          <w:sz w:val="32"/>
          <w:szCs w:val="32"/>
        </w:rPr>
        <w:t>末，</w:t>
      </w:r>
      <w:r>
        <w:rPr>
          <w:rFonts w:hint="eastAsia" w:ascii="仿宋_GB2312" w:hAnsi="仿宋_GB2312" w:eastAsia="仿宋_GB2312" w:cs="仿宋_GB2312"/>
          <w:color w:val="auto"/>
          <w:kern w:val="0"/>
          <w:sz w:val="32"/>
          <w:szCs w:val="32"/>
        </w:rPr>
        <w:t>全职在工程研究中心工作，且获得国家、省、部和计划单列市等政府部门认定的有突出贡献的专家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享受国家、省、部和计划单列市专项津贴的专家，国家“万人计划”专家，泰山产业领军人才，泰山学者及其他类型专家（需具体写明专家类型）。 </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rPr>
        <w:t>博士人数。</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lang w:val="en-US" w:eastAsia="zh-CN"/>
        </w:rPr>
        <w:t>截至</w:t>
      </w:r>
      <w:r>
        <w:rPr>
          <w:rFonts w:hint="eastAsia" w:ascii="仿宋_GB2312" w:hAnsi="仿宋_GB2312" w:eastAsia="仿宋_GB2312" w:cs="仿宋_GB2312"/>
          <w:b/>
          <w:bCs/>
          <w:color w:val="auto"/>
          <w:kern w:val="0"/>
          <w:sz w:val="32"/>
          <w:szCs w:val="32"/>
        </w:rPr>
        <w:t>报告年度</w:t>
      </w:r>
      <w:r>
        <w:rPr>
          <w:rFonts w:hint="eastAsia" w:ascii="仿宋_GB2312" w:hAnsi="仿宋_GB2312" w:eastAsia="仿宋_GB2312" w:cs="仿宋_GB2312"/>
          <w:b/>
          <w:bCs/>
          <w:color w:val="auto"/>
          <w:kern w:val="0"/>
          <w:sz w:val="32"/>
          <w:szCs w:val="32"/>
          <w:lang w:val="en-US" w:eastAsia="zh-CN"/>
        </w:rPr>
        <w:t>期</w:t>
      </w:r>
      <w:r>
        <w:rPr>
          <w:rFonts w:hint="eastAsia" w:ascii="仿宋_GB2312" w:hAnsi="仿宋_GB2312" w:eastAsia="仿宋_GB2312" w:cs="仿宋_GB2312"/>
          <w:b/>
          <w:bCs/>
          <w:color w:val="auto"/>
          <w:kern w:val="0"/>
          <w:sz w:val="32"/>
          <w:szCs w:val="32"/>
        </w:rPr>
        <w:t>末，</w:t>
      </w:r>
      <w:r>
        <w:rPr>
          <w:rFonts w:hint="eastAsia" w:ascii="仿宋_GB2312" w:hAnsi="仿宋_GB2312" w:eastAsia="仿宋_GB2312" w:cs="仿宋_GB2312"/>
          <w:color w:val="auto"/>
          <w:kern w:val="0"/>
          <w:sz w:val="32"/>
          <w:szCs w:val="32"/>
        </w:rPr>
        <w:t>全职在工程研究中心工作、获得博士学位的人员数。在站博士后可以作为博士进行统计。</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来工程研究中心从事研发工作的外部专家人月。</w:t>
      </w:r>
      <w:r>
        <w:rPr>
          <w:rFonts w:hint="eastAsia" w:ascii="仿宋_GB2312" w:hAnsi="仿宋_GB2312" w:eastAsia="仿宋_GB2312" w:cs="仿宋_GB2312"/>
          <w:b/>
          <w:bCs/>
          <w:color w:val="auto"/>
          <w:kern w:val="0"/>
          <w:sz w:val="32"/>
          <w:szCs w:val="32"/>
        </w:rPr>
        <w:t>报告年度内，</w:t>
      </w:r>
      <w:r>
        <w:rPr>
          <w:rFonts w:hint="eastAsia" w:ascii="仿宋_GB2312" w:hAnsi="仿宋_GB2312" w:eastAsia="仿宋_GB2312" w:cs="仿宋_GB2312"/>
          <w:color w:val="auto"/>
          <w:kern w:val="0"/>
          <w:sz w:val="32"/>
          <w:szCs w:val="32"/>
        </w:rPr>
        <w:t xml:space="preserve">来工程研究中心从事研究开发工作的具有较高研发能力的海内外专家累计人月（一般应具有高级专业技术职称）。 </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rPr>
        <w:t>仪器和设备原值。</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lang w:val="en-US" w:eastAsia="zh-CN"/>
        </w:rPr>
        <w:t>截至</w:t>
      </w:r>
      <w:r>
        <w:rPr>
          <w:rFonts w:hint="eastAsia" w:ascii="仿宋_GB2312" w:hAnsi="仿宋_GB2312" w:eastAsia="仿宋_GB2312" w:cs="仿宋_GB2312"/>
          <w:b/>
          <w:bCs/>
          <w:color w:val="auto"/>
          <w:kern w:val="0"/>
          <w:sz w:val="32"/>
          <w:szCs w:val="32"/>
        </w:rPr>
        <w:t>报告年度</w:t>
      </w:r>
      <w:r>
        <w:rPr>
          <w:rFonts w:hint="eastAsia" w:ascii="仿宋_GB2312" w:hAnsi="仿宋_GB2312" w:eastAsia="仿宋_GB2312" w:cs="仿宋_GB2312"/>
          <w:b/>
          <w:bCs/>
          <w:color w:val="auto"/>
          <w:kern w:val="0"/>
          <w:sz w:val="32"/>
          <w:szCs w:val="32"/>
          <w:lang w:val="en-US" w:eastAsia="zh-CN"/>
        </w:rPr>
        <w:t>期</w:t>
      </w:r>
      <w:r>
        <w:rPr>
          <w:rFonts w:hint="eastAsia" w:ascii="仿宋_GB2312" w:hAnsi="仿宋_GB2312" w:eastAsia="仿宋_GB2312" w:cs="仿宋_GB2312"/>
          <w:b/>
          <w:bCs/>
          <w:color w:val="auto"/>
          <w:kern w:val="0"/>
          <w:sz w:val="32"/>
          <w:szCs w:val="32"/>
        </w:rPr>
        <w:t>末，</w:t>
      </w:r>
      <w:r>
        <w:rPr>
          <w:rFonts w:hint="eastAsia" w:ascii="仿宋_GB2312" w:hAnsi="仿宋_GB2312" w:eastAsia="仿宋_GB2312" w:cs="仿宋_GB2312"/>
          <w:color w:val="auto"/>
          <w:kern w:val="0"/>
          <w:sz w:val="32"/>
          <w:szCs w:val="32"/>
          <w:lang w:val="en-US" w:eastAsia="zh-CN"/>
        </w:rPr>
        <w:t>工程研究中心</w:t>
      </w:r>
      <w:r>
        <w:rPr>
          <w:rFonts w:hint="eastAsia" w:ascii="仿宋_GB2312" w:hAnsi="仿宋_GB2312" w:eastAsia="仿宋_GB2312" w:cs="仿宋_GB2312"/>
          <w:color w:val="auto"/>
          <w:kern w:val="0"/>
          <w:sz w:val="32"/>
          <w:szCs w:val="32"/>
        </w:rPr>
        <w:t xml:space="preserve">拥有的用于研发的固定资产中的仪器和设备原价。其中，设备包括用于研发活动的各类机器和设备、试验测量仪器、运输工具、工装工具等。 </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独立办公建筑面积。</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lang w:val="en-US" w:eastAsia="zh-CN"/>
        </w:rPr>
        <w:t>截至</w:t>
      </w:r>
      <w:r>
        <w:rPr>
          <w:rFonts w:hint="eastAsia" w:ascii="仿宋_GB2312" w:hAnsi="仿宋_GB2312" w:eastAsia="仿宋_GB2312" w:cs="仿宋_GB2312"/>
          <w:b/>
          <w:bCs/>
          <w:color w:val="auto"/>
          <w:kern w:val="0"/>
          <w:sz w:val="32"/>
          <w:szCs w:val="32"/>
        </w:rPr>
        <w:t>报告年度</w:t>
      </w:r>
      <w:r>
        <w:rPr>
          <w:rFonts w:hint="eastAsia" w:ascii="仿宋_GB2312" w:hAnsi="仿宋_GB2312" w:eastAsia="仿宋_GB2312" w:cs="仿宋_GB2312"/>
          <w:b/>
          <w:bCs/>
          <w:color w:val="auto"/>
          <w:kern w:val="0"/>
          <w:sz w:val="32"/>
          <w:szCs w:val="32"/>
          <w:lang w:val="en-US" w:eastAsia="zh-CN"/>
        </w:rPr>
        <w:t>期</w:t>
      </w:r>
      <w:r>
        <w:rPr>
          <w:rFonts w:hint="eastAsia" w:ascii="仿宋_GB2312" w:hAnsi="仿宋_GB2312" w:eastAsia="仿宋_GB2312" w:cs="仿宋_GB2312"/>
          <w:b/>
          <w:bCs/>
          <w:color w:val="auto"/>
          <w:kern w:val="0"/>
          <w:sz w:val="32"/>
          <w:szCs w:val="32"/>
        </w:rPr>
        <w:t>末，</w:t>
      </w:r>
      <w:r>
        <w:rPr>
          <w:rFonts w:hint="eastAsia" w:ascii="仿宋_GB2312" w:hAnsi="仿宋_GB2312" w:eastAsia="仿宋_GB2312" w:cs="仿宋_GB2312"/>
          <w:color w:val="auto"/>
          <w:kern w:val="0"/>
          <w:sz w:val="32"/>
          <w:szCs w:val="32"/>
        </w:rPr>
        <w:t>工程研究中心实际占用的独立研发场所建筑面积，以及与相关单位以合同方式确立的可自主支配的独立</w:t>
      </w:r>
      <w:r>
        <w:rPr>
          <w:rFonts w:hint="eastAsia" w:ascii="仿宋_GB2312" w:hAnsi="仿宋_GB2312" w:eastAsia="仿宋_GB2312" w:cs="仿宋_GB2312"/>
          <w:color w:val="auto"/>
          <w:kern w:val="0"/>
          <w:sz w:val="32"/>
          <w:szCs w:val="32"/>
          <w:lang w:val="en-US" w:eastAsia="zh-CN"/>
        </w:rPr>
        <w:t>研发场所</w:t>
      </w:r>
      <w:r>
        <w:rPr>
          <w:rFonts w:hint="eastAsia" w:ascii="仿宋_GB2312" w:hAnsi="仿宋_GB2312" w:eastAsia="仿宋_GB2312" w:cs="仿宋_GB2312"/>
          <w:color w:val="auto"/>
          <w:kern w:val="0"/>
          <w:sz w:val="32"/>
          <w:szCs w:val="32"/>
        </w:rPr>
        <w:t xml:space="preserve">建筑面积面积之和。主要包括工程研究中心用于研发、中试、办公等用途的自有产权或使用权（含租赁）的建筑面积。应为相对独立的整个场所面积，不能为按照人员数核算的标称面积。 </w:t>
      </w:r>
    </w:p>
    <w:p>
      <w:pPr>
        <w:pStyle w:val="3"/>
        <w:adjustRightInd w:val="0"/>
        <w:snapToGrid w:val="0"/>
        <w:spacing w:line="560" w:lineRule="exact"/>
        <w:ind w:firstLine="6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18.</w:t>
      </w:r>
      <w:r>
        <w:rPr>
          <w:rFonts w:hint="eastAsia" w:ascii="仿宋_GB2312" w:hAnsi="仿宋_GB2312" w:eastAsia="仿宋_GB2312" w:cs="仿宋_GB2312"/>
          <w:color w:val="auto"/>
          <w:kern w:val="0"/>
          <w:sz w:val="32"/>
          <w:szCs w:val="32"/>
        </w:rPr>
        <w:t>获国家自然科学、技术发明、科技进步奖项数。</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b/>
          <w:bCs/>
          <w:color w:val="auto"/>
          <w:kern w:val="0"/>
          <w:sz w:val="32"/>
          <w:szCs w:val="32"/>
          <w:lang w:val="en-US" w:eastAsia="zh-CN"/>
        </w:rPr>
        <w:t>近5年内</w:t>
      </w:r>
      <w:r>
        <w:rPr>
          <w:rFonts w:hint="eastAsia" w:ascii="仿宋_GB2312" w:hAnsi="仿宋_GB2312" w:eastAsia="仿宋_GB2312" w:cs="仿宋_GB2312"/>
          <w:color w:val="auto"/>
          <w:kern w:val="0"/>
          <w:sz w:val="32"/>
          <w:szCs w:val="32"/>
          <w:lang w:val="en-US" w:eastAsia="zh-CN"/>
        </w:rPr>
        <w:t>（2020年1月1日-2024年12月31日，以证书时间为准），</w:t>
      </w:r>
      <w:r>
        <w:rPr>
          <w:rFonts w:hint="eastAsia" w:ascii="仿宋_GB2312" w:hAnsi="仿宋_GB2312" w:eastAsia="仿宋_GB2312" w:cs="仿宋_GB2312"/>
          <w:color w:val="auto"/>
          <w:kern w:val="0"/>
          <w:sz w:val="32"/>
          <w:szCs w:val="32"/>
        </w:rPr>
        <w:t>依托单位或共建单位作为主要完成单位（或工程研究中心人员作为主要完成人）获得的由国务院颁发的“国家自然科学奖”、“国家技术发明奖”和“国家科学技术进步奖”或省人民政府颁发的“山东省自然科学奖”“山东省技术发明奖”和“山东省科学技术进步奖”的奖项总数。</w:t>
      </w:r>
    </w:p>
    <w:p>
      <w:pPr>
        <w:pBdr>
          <w:top w:val="none" w:color="auto" w:sz="0" w:space="0"/>
          <w:left w:val="none" w:color="auto" w:sz="0" w:space="0"/>
          <w:bottom w:val="none" w:color="auto" w:sz="0" w:space="1"/>
          <w:right w:val="none" w:color="auto" w:sz="0" w:space="0"/>
          <w:between w:val="none" w:color="auto" w:sz="0" w:space="0"/>
        </w:pBdr>
        <w:tabs>
          <w:tab w:val="left" w:pos="3450"/>
        </w:tabs>
        <w:snapToGrid w:val="0"/>
        <w:spacing w:line="560" w:lineRule="exact"/>
        <w:rPr>
          <w:rFonts w:hint="eastAsia" w:ascii="仿宋_GB2312" w:hAnsi="仿宋_GB2312" w:eastAsia="仿宋_GB2312" w:cs="仿宋_GB2312"/>
          <w:color w:val="auto"/>
          <w:sz w:val="32"/>
          <w:szCs w:val="32"/>
          <w:lang w:eastAsia="zh-CN"/>
        </w:rPr>
      </w:pPr>
    </w:p>
    <w:sectPr>
      <w:footerReference r:id="rId3" w:type="default"/>
      <w:pgSz w:w="11906" w:h="16838"/>
      <w:pgMar w:top="2098" w:right="1474" w:bottom="1985" w:left="1588" w:header="1418"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868927-A4E2-47B7-B49A-FEEAC0F6DC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7699A5B-97D4-4EFE-94CD-A5378179D2BB}"/>
  </w:font>
  <w:font w:name="方正小标宋_GBK">
    <w:panose1 w:val="02000000000000000000"/>
    <w:charset w:val="86"/>
    <w:family w:val="script"/>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embedRegular r:id="rId3" w:fontKey="{874D396B-DBBF-43B0-83F9-80F4C47541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ZDczMTVjNmIwMTI0M2E4ZDExM2ZlMzcxNTQwNTYifQ=="/>
  </w:docVars>
  <w:rsids>
    <w:rsidRoot w:val="006E0B1B"/>
    <w:rsid w:val="00040F27"/>
    <w:rsid w:val="00044BF6"/>
    <w:rsid w:val="000479F9"/>
    <w:rsid w:val="00050BED"/>
    <w:rsid w:val="00060381"/>
    <w:rsid w:val="000643B1"/>
    <w:rsid w:val="00077308"/>
    <w:rsid w:val="000969AD"/>
    <w:rsid w:val="000C124F"/>
    <w:rsid w:val="000E4FD0"/>
    <w:rsid w:val="000E51AE"/>
    <w:rsid w:val="000E55F6"/>
    <w:rsid w:val="000F2012"/>
    <w:rsid w:val="0011677A"/>
    <w:rsid w:val="00133A50"/>
    <w:rsid w:val="001343DD"/>
    <w:rsid w:val="00141B49"/>
    <w:rsid w:val="00142E0B"/>
    <w:rsid w:val="00151428"/>
    <w:rsid w:val="001807C7"/>
    <w:rsid w:val="00187875"/>
    <w:rsid w:val="0019625D"/>
    <w:rsid w:val="001B00F1"/>
    <w:rsid w:val="001F5C0A"/>
    <w:rsid w:val="00217A0B"/>
    <w:rsid w:val="00227D7A"/>
    <w:rsid w:val="0024078B"/>
    <w:rsid w:val="00241212"/>
    <w:rsid w:val="00245B52"/>
    <w:rsid w:val="00250821"/>
    <w:rsid w:val="002521B1"/>
    <w:rsid w:val="002600D1"/>
    <w:rsid w:val="00265D99"/>
    <w:rsid w:val="002664F8"/>
    <w:rsid w:val="00271FAB"/>
    <w:rsid w:val="002E527C"/>
    <w:rsid w:val="002F0481"/>
    <w:rsid w:val="0031187E"/>
    <w:rsid w:val="0031414B"/>
    <w:rsid w:val="0032031A"/>
    <w:rsid w:val="00321F28"/>
    <w:rsid w:val="00330BB7"/>
    <w:rsid w:val="0036228A"/>
    <w:rsid w:val="0036678F"/>
    <w:rsid w:val="0037795B"/>
    <w:rsid w:val="00385C14"/>
    <w:rsid w:val="00394B54"/>
    <w:rsid w:val="003A7F0E"/>
    <w:rsid w:val="003C21C2"/>
    <w:rsid w:val="003C2501"/>
    <w:rsid w:val="003C272B"/>
    <w:rsid w:val="003C3AA6"/>
    <w:rsid w:val="003D2AA7"/>
    <w:rsid w:val="003D4AC1"/>
    <w:rsid w:val="003E6734"/>
    <w:rsid w:val="003E74E0"/>
    <w:rsid w:val="003F5D18"/>
    <w:rsid w:val="00400E43"/>
    <w:rsid w:val="00404D2B"/>
    <w:rsid w:val="00410D5B"/>
    <w:rsid w:val="00413505"/>
    <w:rsid w:val="00416084"/>
    <w:rsid w:val="00437B98"/>
    <w:rsid w:val="00442D70"/>
    <w:rsid w:val="00447568"/>
    <w:rsid w:val="00452D9F"/>
    <w:rsid w:val="00472BFD"/>
    <w:rsid w:val="00477BD4"/>
    <w:rsid w:val="00481565"/>
    <w:rsid w:val="00496C43"/>
    <w:rsid w:val="004A4CC7"/>
    <w:rsid w:val="004A77A2"/>
    <w:rsid w:val="004B077A"/>
    <w:rsid w:val="004B5F64"/>
    <w:rsid w:val="004C0511"/>
    <w:rsid w:val="004C51E9"/>
    <w:rsid w:val="004C7A03"/>
    <w:rsid w:val="004D6050"/>
    <w:rsid w:val="00533455"/>
    <w:rsid w:val="00547150"/>
    <w:rsid w:val="00567C91"/>
    <w:rsid w:val="005829AC"/>
    <w:rsid w:val="00582D7E"/>
    <w:rsid w:val="005C2D82"/>
    <w:rsid w:val="00620453"/>
    <w:rsid w:val="006763AC"/>
    <w:rsid w:val="006924C6"/>
    <w:rsid w:val="006A0682"/>
    <w:rsid w:val="006A0A43"/>
    <w:rsid w:val="006C6A62"/>
    <w:rsid w:val="006E0B1B"/>
    <w:rsid w:val="006E4716"/>
    <w:rsid w:val="006F0C77"/>
    <w:rsid w:val="006F0E38"/>
    <w:rsid w:val="00713866"/>
    <w:rsid w:val="00716D85"/>
    <w:rsid w:val="00737AEC"/>
    <w:rsid w:val="00786C7D"/>
    <w:rsid w:val="007C67A5"/>
    <w:rsid w:val="007D28E3"/>
    <w:rsid w:val="007E346E"/>
    <w:rsid w:val="00801323"/>
    <w:rsid w:val="00811716"/>
    <w:rsid w:val="00845E14"/>
    <w:rsid w:val="00861B0A"/>
    <w:rsid w:val="008859B1"/>
    <w:rsid w:val="008A72DC"/>
    <w:rsid w:val="008C5E1B"/>
    <w:rsid w:val="00911F72"/>
    <w:rsid w:val="009255A5"/>
    <w:rsid w:val="00936F0A"/>
    <w:rsid w:val="009576F5"/>
    <w:rsid w:val="00961FFC"/>
    <w:rsid w:val="009A7793"/>
    <w:rsid w:val="009C6B4F"/>
    <w:rsid w:val="00A0163B"/>
    <w:rsid w:val="00A12BC5"/>
    <w:rsid w:val="00A30197"/>
    <w:rsid w:val="00A47CEB"/>
    <w:rsid w:val="00A561F4"/>
    <w:rsid w:val="00A779B8"/>
    <w:rsid w:val="00A80068"/>
    <w:rsid w:val="00A86866"/>
    <w:rsid w:val="00AA14DD"/>
    <w:rsid w:val="00AA375B"/>
    <w:rsid w:val="00AB7931"/>
    <w:rsid w:val="00AC4076"/>
    <w:rsid w:val="00AE3B4F"/>
    <w:rsid w:val="00AF2807"/>
    <w:rsid w:val="00B00297"/>
    <w:rsid w:val="00B0349C"/>
    <w:rsid w:val="00B1078E"/>
    <w:rsid w:val="00B11D9A"/>
    <w:rsid w:val="00B3351D"/>
    <w:rsid w:val="00B41C4F"/>
    <w:rsid w:val="00B637B7"/>
    <w:rsid w:val="00BE4D6B"/>
    <w:rsid w:val="00C161E8"/>
    <w:rsid w:val="00C41CC7"/>
    <w:rsid w:val="00C4636A"/>
    <w:rsid w:val="00C72C1B"/>
    <w:rsid w:val="00C74E41"/>
    <w:rsid w:val="00CC065C"/>
    <w:rsid w:val="00CE6BCE"/>
    <w:rsid w:val="00CE7497"/>
    <w:rsid w:val="00CF091A"/>
    <w:rsid w:val="00D11058"/>
    <w:rsid w:val="00D32557"/>
    <w:rsid w:val="00D452A7"/>
    <w:rsid w:val="00D45366"/>
    <w:rsid w:val="00D474E6"/>
    <w:rsid w:val="00D56E67"/>
    <w:rsid w:val="00D60EBF"/>
    <w:rsid w:val="00D614B7"/>
    <w:rsid w:val="00D74904"/>
    <w:rsid w:val="00D767DE"/>
    <w:rsid w:val="00D92AB0"/>
    <w:rsid w:val="00DB6E4C"/>
    <w:rsid w:val="00DD0FE8"/>
    <w:rsid w:val="00DE0FFD"/>
    <w:rsid w:val="00DF0AAC"/>
    <w:rsid w:val="00E022A3"/>
    <w:rsid w:val="00E203BA"/>
    <w:rsid w:val="00E3390E"/>
    <w:rsid w:val="00E5704D"/>
    <w:rsid w:val="00E62FD0"/>
    <w:rsid w:val="00E659F5"/>
    <w:rsid w:val="00E732EE"/>
    <w:rsid w:val="00E8590A"/>
    <w:rsid w:val="00E9008B"/>
    <w:rsid w:val="00EA047D"/>
    <w:rsid w:val="00EA6BFA"/>
    <w:rsid w:val="00EA7EAD"/>
    <w:rsid w:val="00EB701E"/>
    <w:rsid w:val="00EC7525"/>
    <w:rsid w:val="00F00CB6"/>
    <w:rsid w:val="00F03533"/>
    <w:rsid w:val="00F433CF"/>
    <w:rsid w:val="00F55141"/>
    <w:rsid w:val="00F62BD2"/>
    <w:rsid w:val="00F908CC"/>
    <w:rsid w:val="00FB608E"/>
    <w:rsid w:val="03F42021"/>
    <w:rsid w:val="05602004"/>
    <w:rsid w:val="0C2044EB"/>
    <w:rsid w:val="0DD405FA"/>
    <w:rsid w:val="0F07571F"/>
    <w:rsid w:val="0F2509E1"/>
    <w:rsid w:val="0F37017F"/>
    <w:rsid w:val="10900D7E"/>
    <w:rsid w:val="114333A1"/>
    <w:rsid w:val="12435D4E"/>
    <w:rsid w:val="136B6B37"/>
    <w:rsid w:val="13734411"/>
    <w:rsid w:val="16F07B27"/>
    <w:rsid w:val="19ED659F"/>
    <w:rsid w:val="1C556DAA"/>
    <w:rsid w:val="1C6012AB"/>
    <w:rsid w:val="1CB11B06"/>
    <w:rsid w:val="1EA16CCC"/>
    <w:rsid w:val="20062169"/>
    <w:rsid w:val="20C5384C"/>
    <w:rsid w:val="215313DE"/>
    <w:rsid w:val="216C24A0"/>
    <w:rsid w:val="23243032"/>
    <w:rsid w:val="27122831"/>
    <w:rsid w:val="280457BE"/>
    <w:rsid w:val="29053906"/>
    <w:rsid w:val="2A720B27"/>
    <w:rsid w:val="2F042C55"/>
    <w:rsid w:val="2F662C24"/>
    <w:rsid w:val="31905D36"/>
    <w:rsid w:val="34721D5A"/>
    <w:rsid w:val="36745C27"/>
    <w:rsid w:val="37991DE9"/>
    <w:rsid w:val="38417D8A"/>
    <w:rsid w:val="3D4C2FC8"/>
    <w:rsid w:val="3DFD26F7"/>
    <w:rsid w:val="3FDE646C"/>
    <w:rsid w:val="42E3216A"/>
    <w:rsid w:val="433C4DC4"/>
    <w:rsid w:val="45A143C9"/>
    <w:rsid w:val="4BC15012"/>
    <w:rsid w:val="4C771B75"/>
    <w:rsid w:val="4D5B7B4E"/>
    <w:rsid w:val="4D8B0465"/>
    <w:rsid w:val="4E347D1E"/>
    <w:rsid w:val="4FE35D07"/>
    <w:rsid w:val="51CC5675"/>
    <w:rsid w:val="52B14033"/>
    <w:rsid w:val="52D77F8E"/>
    <w:rsid w:val="5BDD7C46"/>
    <w:rsid w:val="5E260C34"/>
    <w:rsid w:val="60F628C4"/>
    <w:rsid w:val="648C4C86"/>
    <w:rsid w:val="65546BFA"/>
    <w:rsid w:val="67B6335D"/>
    <w:rsid w:val="6D0668D1"/>
    <w:rsid w:val="70104A8F"/>
    <w:rsid w:val="72F321E0"/>
    <w:rsid w:val="734737A0"/>
    <w:rsid w:val="73F41F8C"/>
    <w:rsid w:val="74514C90"/>
    <w:rsid w:val="79586707"/>
    <w:rsid w:val="7AC72841"/>
    <w:rsid w:val="7DF764EE"/>
    <w:rsid w:val="7E4B05E8"/>
    <w:rsid w:val="7F96227E"/>
    <w:rsid w:val="7FD603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2"/>
    <w:basedOn w:val="1"/>
    <w:next w:val="1"/>
    <w:link w:val="14"/>
    <w:unhideWhenUsed/>
    <w:qFormat/>
    <w:uiPriority w:val="0"/>
    <w:pPr>
      <w:keepNext/>
      <w:keepLines/>
      <w:spacing w:before="260" w:after="260" w:line="413" w:lineRule="auto"/>
      <w:ind w:firstLine="723" w:firstLineChars="200"/>
      <w:outlineLvl w:val="1"/>
    </w:pPr>
    <w:rPr>
      <w:rFonts w:ascii="Arial" w:hAnsi="Arial" w:eastAsia="黑体"/>
      <w:b/>
      <w:szCs w:val="2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44"/>
      <w:szCs w:val="24"/>
    </w:rPr>
  </w:style>
  <w:style w:type="paragraph" w:styleId="4">
    <w:name w:val="Body Text Indent"/>
    <w:basedOn w:val="1"/>
    <w:qFormat/>
    <w:uiPriority w:val="0"/>
    <w:pPr>
      <w:ind w:firstLine="420" w:firstLineChars="200"/>
    </w:pPr>
    <w:rPr>
      <w:szCs w:val="24"/>
    </w:rPr>
  </w:style>
  <w:style w:type="paragraph" w:styleId="5">
    <w:name w:val="Body Text Indent 2"/>
    <w:basedOn w:val="1"/>
    <w:qFormat/>
    <w:uiPriority w:val="0"/>
    <w:pPr>
      <w:ind w:firstLine="640" w:firstLineChars="200"/>
    </w:pPr>
    <w:rPr>
      <w:rFonts w:eastAsia="仿宋_GB2312"/>
      <w:sz w:val="32"/>
      <w:szCs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ind w:left="420" w:firstLine="645"/>
    </w:pPr>
    <w:rPr>
      <w:rFonts w:eastAsia="仿宋_GB2312"/>
      <w:sz w:val="32"/>
      <w:szCs w:val="24"/>
    </w:rPr>
  </w:style>
  <w:style w:type="paragraph" w:styleId="10">
    <w:name w:val="Body Text 2"/>
    <w:basedOn w:val="1"/>
    <w:qFormat/>
    <w:uiPriority w:val="0"/>
    <w:rPr>
      <w:rFonts w:eastAsia="仿宋_GB2312"/>
      <w:sz w:val="32"/>
      <w:szCs w:val="24"/>
    </w:rPr>
  </w:style>
  <w:style w:type="character" w:styleId="13">
    <w:name w:val="page number"/>
    <w:basedOn w:val="12"/>
    <w:qFormat/>
    <w:uiPriority w:val="0"/>
  </w:style>
  <w:style w:type="character" w:customStyle="1" w:styleId="14">
    <w:name w:val="标题 2 Char"/>
    <w:basedOn w:val="12"/>
    <w:link w:val="2"/>
    <w:qFormat/>
    <w:uiPriority w:val="0"/>
    <w:rPr>
      <w:rFonts w:ascii="Arial" w:hAnsi="Arial" w:eastAsia="黑体"/>
      <w:b/>
      <w:kern w:val="2"/>
      <w:sz w:val="32"/>
      <w:szCs w:val="22"/>
    </w:rPr>
  </w:style>
  <w:style w:type="character" w:customStyle="1" w:styleId="15">
    <w:name w:val="font2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14&#27491;&#24335;&#21457;&#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2014正式发文模板</Template>
  <Company>山东省发展计划委员会</Company>
  <Pages>6</Pages>
  <Words>2884</Words>
  <Characters>2934</Characters>
  <Lines>86</Lines>
  <Paragraphs>24</Paragraphs>
  <TotalTime>88</TotalTime>
  <ScaleCrop>false</ScaleCrop>
  <LinksUpToDate>false</LinksUpToDate>
  <CharactersWithSpaces>2941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2021-11-19T01:20:00Z</dcterms:created>
  <dc:creator>衣雪燕</dc:creator>
  <cp:lastModifiedBy>陈新营</cp:lastModifiedBy>
  <cp:lastPrinted>2025-03-24T06:46:22Z</cp:lastPrinted>
  <dcterms:modified xsi:type="dcterms:W3CDTF">2025-03-24T06:46:25Z</dcterms:modified>
  <dc:title>鲁计［2002］号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67B5FC574EEE4F97995C095257813372_13</vt:lpwstr>
  </property>
  <property fmtid="{D5CDD505-2E9C-101B-9397-08002B2CF9AE}" pid="4" name="KSOTemplateDocerSaveRecord">
    <vt:lpwstr>eyJoZGlkIjoiOTM3MTE2YWIzNDczNmI3NDZiNDFjNzFkMzA2ZDkzMDIiLCJ1c2VySWQiOiI1NjMwNDMyMjYifQ==</vt:lpwstr>
  </property>
</Properties>
</file>