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A6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b/>
          <w:bCs/>
          <w:i w:val="0"/>
          <w:iCs w:val="0"/>
          <w:caps w:val="0"/>
          <w:color w:val="000000"/>
          <w:spacing w:val="0"/>
          <w:sz w:val="30"/>
          <w:szCs w:val="30"/>
          <w:shd w:val="clear" w:fill="FFFFFF"/>
        </w:rPr>
      </w:pPr>
      <w:r>
        <w:rPr>
          <w:rFonts w:hint="eastAsia" w:ascii="微软雅黑" w:hAnsi="微软雅黑" w:eastAsia="微软雅黑" w:cs="微软雅黑"/>
          <w:b/>
          <w:bCs/>
          <w:i w:val="0"/>
          <w:iCs w:val="0"/>
          <w:caps w:val="0"/>
          <w:color w:val="000000"/>
          <w:spacing w:val="0"/>
          <w:sz w:val="30"/>
          <w:szCs w:val="30"/>
          <w:shd w:val="clear" w:fill="FFFFFF"/>
        </w:rPr>
        <w:t>国家自然科学基金委员会管理科学部</w:t>
      </w:r>
      <w:r>
        <w:rPr>
          <w:rFonts w:hint="eastAsia" w:ascii="微软雅黑" w:hAnsi="微软雅黑" w:eastAsia="微软雅黑" w:cs="微软雅黑"/>
          <w:b/>
          <w:bCs/>
          <w:i w:val="0"/>
          <w:iCs w:val="0"/>
          <w:caps w:val="0"/>
          <w:color w:val="000000"/>
          <w:spacing w:val="0"/>
          <w:sz w:val="30"/>
          <w:szCs w:val="30"/>
          <w:shd w:val="clear" w:fill="FFFFFF"/>
        </w:rPr>
        <w:br w:type="textWrapping"/>
      </w:r>
      <w:r>
        <w:rPr>
          <w:rFonts w:hint="eastAsia" w:ascii="微软雅黑" w:hAnsi="微软雅黑" w:eastAsia="微软雅黑" w:cs="微软雅黑"/>
          <w:b/>
          <w:bCs/>
          <w:i w:val="0"/>
          <w:iCs w:val="0"/>
          <w:caps w:val="0"/>
          <w:color w:val="000000"/>
          <w:spacing w:val="0"/>
          <w:sz w:val="30"/>
          <w:szCs w:val="30"/>
          <w:shd w:val="clear" w:fill="FFFFFF"/>
        </w:rPr>
        <w:t>2024年第3期应急管理项目</w:t>
      </w:r>
      <w:r>
        <w:rPr>
          <w:rFonts w:hint="eastAsia" w:ascii="微软雅黑" w:hAnsi="微软雅黑" w:eastAsia="微软雅黑" w:cs="微软雅黑"/>
          <w:b/>
          <w:bCs/>
          <w:i w:val="0"/>
          <w:iCs w:val="0"/>
          <w:caps w:val="0"/>
          <w:color w:val="000000"/>
          <w:spacing w:val="0"/>
          <w:sz w:val="30"/>
          <w:szCs w:val="30"/>
          <w:shd w:val="clear" w:fill="FFFFFF"/>
        </w:rPr>
        <w:br w:type="textWrapping"/>
      </w:r>
      <w:r>
        <w:rPr>
          <w:rFonts w:hint="eastAsia" w:ascii="微软雅黑" w:hAnsi="微软雅黑" w:eastAsia="微软雅黑" w:cs="微软雅黑"/>
          <w:b/>
          <w:bCs/>
          <w:i w:val="0"/>
          <w:iCs w:val="0"/>
          <w:caps w:val="0"/>
          <w:color w:val="000000"/>
          <w:spacing w:val="0"/>
          <w:sz w:val="30"/>
          <w:szCs w:val="30"/>
          <w:shd w:val="clear" w:fill="FFFFFF"/>
        </w:rPr>
        <w:t>《以公益性为导向的公立医院改革与高质量发展政策研究》申请说明</w:t>
      </w:r>
    </w:p>
    <w:p w14:paraId="34F68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一、项目类型和意义说明</w:t>
      </w:r>
    </w:p>
    <w:p w14:paraId="024F1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为了对经济、科技、社会发展中出现的一些重大管理问题快速做出反应，及时为党和政府高层决策提供科学分析和政策建议，国家自然科学基金委员会于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14:paraId="341B9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根据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14:paraId="225CFB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14:paraId="369CBF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二、2024年第3期应急管理项目《以公益性为导向的公立医院改革与高质量发展政策研究》申请指南</w:t>
      </w:r>
    </w:p>
    <w:p w14:paraId="4A0D2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党的二十届三中全会审议通过《中共中央关于进一步全面深化改革、推进中国式现代化的决定》，强调要“深化以公益性为导向的公立医院改革，建立以医疗服务为主导的收费机制，完善薪酬制度，建立编制动态调整机制”。国务院办公厅发布的《关于推动公立医院高质量发展的意见》，从公立医院新体系、新趋势、新效能、新动力、新文化等方面的高质量发展进行了全面部署，要求公立医院发展方式从规模扩张转向提质增效，运行模式从粗放管理转向精细化管理，资源配置从注重物质要素转向更加注重人才技术要素。伴随着中共中央、国务院各类重要文件的出台，我国公立医院改革与高质量发展进入了重要的机遇期。</w:t>
      </w:r>
    </w:p>
    <w:p w14:paraId="445EAD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公立医院作为我国医疗卫生服务体系的主体，为保障人民群众生命安全和身体健康发挥了重要作用。自2009年启动新一轮医药卫生体制改革以来，特别是党的十八大召开以来，公立医院改革发展作为深化医药卫生体制改革的重要内容，取得了重大的阶段性成效。然而，一方面相对于人民群众对健康服务的需求以及对公立医院发展的要求，我国的公立医院改革还面临诸多挑战。当前多数公立医院发展模式仍以规模扩张为主，高质量地协同发展任重道远；以公益性为导向的公立医院运行机制、补偿机制和公立医院治理的多部门协同机制有待优化；调动积极性的绩效考核与薪酬制度需要完善；医防割裂的局面亟待扭转。另一方面，在数智化创新时代的大背景下，新质生产力为公立医院高质量发展注入强劲动力，将在优化医疗资源配置、重塑医疗服务模式、推动运营管理精细化与智能化、控制运行成本、提升医疗服务质量等方面产生巨大效能。</w:t>
      </w:r>
    </w:p>
    <w:p w14:paraId="6F013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因此，如何在保持公立医院公益性的同时，实现公立医院高质量发展，成为改革中亟待解决的关键问题。本项目旨在围绕以公益性为导向的公立医院改革，探讨技术赋能、治理优化、政策协同、机制创新，为公立医院高质量发展的政策设计提供有效支撑。具体研究包括以下几个方面：</w:t>
      </w:r>
    </w:p>
    <w:p w14:paraId="79295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总课题：以公益性为导向的公立医院改革与政策框架设计</w:t>
      </w:r>
    </w:p>
    <w:p w14:paraId="55E6B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深化以公益性为导向的公立医院改革，是推动公立医院高质量发展的重要举措，更是党中央、国务院为更好满足人民日益增长的医疗卫生服务需求的重要部署。在加快以公益性为导向的公立医院改革进程中，需要结合医药卫生体制改革和健康中国建设的实际需要，以国家重大战略需求为导向，遵循高质量发展的客观规律，设计科学的公立医院改革政策框架，助力公立医院可持续地高质量发展。主要研究内容包括：（1）分析以公益性为导向的公立医院改革历程、未来发展趋势，明确以公益性为导向的公立医院高质量发展新特征；（2）运用大数据等技术，分析公立医院改革与高质量发展中面临的主要挑战和问题；（3）通过关键指标设计和数据分析等方法，梳理国外以公益性为导向的公立医院改革经验、国内公立医院高质量发展试点经验，揭示公立医院公益性与高质量发展之间的内在机制与联动关系；（4）设计以公益性为导向的公立医院改革的政策体系，提出推动公立医院高质量发展的策略建议。</w:t>
      </w:r>
    </w:p>
    <w:p w14:paraId="10A39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子课题1：数智技术赋能多层次医疗保障下的公立医院运营机制</w:t>
      </w:r>
    </w:p>
    <w:p w14:paraId="30820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随着多层次医疗保障体系的不断完善，医疗卫生服务的公平可及性不断提升，新质生产力赋能公立医院运营管理，正推动优质医疗卫生服务的供给朝着更低成本、更高效率的方向发展。然而，多层次医疗保障下的公立医院发展仍面临诸多挑战，需要结合医保支付方式的改革，有效控制运营成本、切实保障服务质量、持续提升运营管理水平。数智技术在医疗领域的深度应用，为公立医院在降本增效、管理升级、运营优化等方面提供了新的契机，有助于公立医院在多层次医疗保障框架下实现高质量发展。主要研究内容包括：（1）研究不同医保支付方式下公立医院运营成本（含后勤等全成本体系）的控制机制；（2）以大数据分析为基础，构建公立医院数智化运营机制以实现医疗质量控制、服务效率提升、技术自主创新；（3）研究数智技术赋能多层次医疗保障下的多方主体协同联动机制，优化多层次医疗保障体系下公立医院生态韧性，提出实现公立医院经济效益与社会效益平衡的策略建议。</w:t>
      </w:r>
    </w:p>
    <w:p w14:paraId="5E12B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子课题2：优质医疗资源共享和区域协同发展的均衡模式与策略</w:t>
      </w:r>
    </w:p>
    <w:p w14:paraId="17070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党的二十届三中全会指出要“促进优质医疗资源扩容下沉和区域均衡布局”。改善医疗资源配置公平性，推动优质资源向中西部和东北地区、向省域内副中心城市延伸，推动城市医疗资源向县级延伸、县区医疗资源向城乡基层延伸，以实现协同发展势在必行。在优质医疗资源不足且分布不均的背景下，亟需研究优质医疗资源共享和区域协同发展的均衡模式，提升优质医疗服务能力。主要研究内容包括：（1）分析多场景下优质医疗资源的辐射效应与马太效应的作用机理和具体表现；（2）研究数智医疗技术对优质医疗资源共享与协同发展的赋能机制；（3）构建优质医疗资源差异化共享及区域协同发展的均衡模式；（4）提出优质医疗资源共享与区域协同发展的可持续价值创造策略。</w:t>
      </w:r>
    </w:p>
    <w:p w14:paraId="5B247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子课题3：以绩效为基础的公立医院财政补偿机制与政策</w:t>
      </w:r>
    </w:p>
    <w:p w14:paraId="69322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健康中国2030规划纲要》明确指出要“健全政府健康领域相关投入机制，调整优化财政支出结构，履行政府保障基本健康服务需求的责任”。然而，我国医疗卫生财政投入规模虽逐年增加，现行的财政补偿方式仍以定额拨款、差额补助为主，存在财政保障机制待优化、激励机制不完善等诸多问题。因此，构建科学合理的财政补偿机制，对提升医疗服务效率和质量，以更好地满足人民群众的健康需求具有重要意义。主要研究内容包括：（1）研究以公益性为前提，以科技创新、健康新质生产力等因素为主导的公立医院高质量发展新绩效体系，比较国际范围内公立医院财政补偿的制度；（2）测算中国各级、各类公立医院的财政补偿规模和水平，分析财政补偿对公立医院高质量发展的影响效应，探索如何优化财政补偿机制；（3）以绩效为基础，突出公益性目标，提出针对不同层次、不同地区公立医院的财政补偿策略与政策。</w:t>
      </w:r>
    </w:p>
    <w:p w14:paraId="64174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子课题4：以公益性为导向的公立医院薪酬制度设计与政策</w:t>
      </w:r>
    </w:p>
    <w:p w14:paraId="3070B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以人为本”始终是公立医院建设与发展的核心理念，科学的薪酬制度是调动广大医务人员积极性、不断提高医疗服务水平的重要手段。在深化公立医院改革的背景下，既要保障公益性，又要调动积极性，优化公立医院薪酬制度成为亟待研究的科学问题。主要研究内容包括：（1）医院薪酬制度的国际比较分析和国内改革试点经验总结，研究公益性导向下我国公立医院薪酬制度建设存在的主要问题；（2）探讨公立医院包括固定薪酬、绩效薪酬在内的不同薪酬体系的激励约束效应；（3）针对不同层次公立医院的功能定位，提出优化公立医院薪酬制度的政策建议。</w:t>
      </w:r>
    </w:p>
    <w:p w14:paraId="1380C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子课题5：医防协同和医防融合的机制与策略</w:t>
      </w:r>
    </w:p>
    <w:p w14:paraId="2E5771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创新医防协同、医防融合机制，是国家重大战略需求。公立医院不仅是我国医疗服务体系的主体，也是重大疾病监测预警的主要阵地。特别是新发突发公共卫生不确定性风险严重威胁着人民生命健康与安全，亟需打造富有韧性、高效协同的医防系统，创新医防融合机制，以增强重大疾病监测预警能力、全方位保障国民健康和社会稳定。主要研究内容包括：（1）通过大数据分析，评价医防协同系统韧性，创新包括资源协同配置、信息共享在内的医防协同机制；（2）研究数智赋能的公立医院医防融合机制创新，提升重大疾病监测预警水平；（3）提出我国公立医院医防协同、医防融合的实现路径与策略建议。</w:t>
      </w:r>
    </w:p>
    <w:p w14:paraId="68582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三、申请要求及注意事项</w:t>
      </w:r>
    </w:p>
    <w:p w14:paraId="22735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（一）申请条件。</w:t>
      </w:r>
    </w:p>
    <w:p w14:paraId="1CD384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本项目申请人应当具备以下条件：</w:t>
      </w:r>
    </w:p>
    <w:p w14:paraId="32D60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1. 具有承担基础研究课题或者其他从事基础研究的经历；</w:t>
      </w:r>
    </w:p>
    <w:p w14:paraId="4DB170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xml:space="preserve">　　2. </w:t>
      </w:r>
      <w:r>
        <w:rPr>
          <w:rFonts w:hint="eastAsia" w:ascii="仿宋_GB2312" w:hAnsi="仿宋_GB2312" w:eastAsia="仿宋_GB2312" w:cs="仿宋_GB2312"/>
          <w:b/>
          <w:bCs/>
          <w:i w:val="0"/>
          <w:iCs w:val="0"/>
          <w:caps w:val="0"/>
          <w:color w:val="000000"/>
          <w:spacing w:val="0"/>
          <w:sz w:val="30"/>
          <w:szCs w:val="30"/>
          <w:bdr w:val="none" w:color="auto" w:sz="0" w:space="0"/>
          <w:shd w:val="clear" w:fill="FFFFFF"/>
        </w:rPr>
        <w:t>具有高级专业技术职务（职称）或者具有博士学位</w:t>
      </w:r>
      <w:r>
        <w:rPr>
          <w:rFonts w:hint="eastAsia" w:ascii="仿宋_GB2312" w:hAnsi="仿宋_GB2312" w:eastAsia="仿宋_GB2312" w:cs="仿宋_GB2312"/>
          <w:i w:val="0"/>
          <w:iCs w:val="0"/>
          <w:caps w:val="0"/>
          <w:color w:val="000000"/>
          <w:spacing w:val="0"/>
          <w:sz w:val="30"/>
          <w:szCs w:val="30"/>
          <w:bdr w:val="none" w:color="auto" w:sz="0" w:space="0"/>
          <w:shd w:val="clear" w:fill="FFFFFF"/>
        </w:rPr>
        <w:t>。</w:t>
      </w:r>
    </w:p>
    <w:p w14:paraId="23798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正在博士后流动站或者工作站内从事研究工作、正在攻读研究生学位以及无工作单位或者所在单位不是依托单位的人员不得申请本项目。</w:t>
      </w:r>
    </w:p>
    <w:p w14:paraId="21E5E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（二）申请限项规定。</w:t>
      </w:r>
    </w:p>
    <w:p w14:paraId="2D6A0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1. 本项目不计入高级专业技术职务（职称）人员申请和承担总数2项的范围。</w:t>
      </w:r>
    </w:p>
    <w:p w14:paraId="33D258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2. 申请人</w:t>
      </w:r>
      <w:r>
        <w:rPr>
          <w:rFonts w:hint="eastAsia" w:ascii="仿宋_GB2312" w:hAnsi="仿宋_GB2312" w:eastAsia="仿宋_GB2312" w:cs="仿宋_GB2312"/>
          <w:b/>
          <w:bCs/>
          <w:i w:val="0"/>
          <w:iCs w:val="0"/>
          <w:caps w:val="0"/>
          <w:color w:val="000000"/>
          <w:spacing w:val="0"/>
          <w:sz w:val="30"/>
          <w:szCs w:val="30"/>
          <w:bdr w:val="none" w:color="auto" w:sz="0" w:space="0"/>
          <w:shd w:val="clear" w:fill="FFFFFF"/>
        </w:rPr>
        <w:t>同一年度一般只能申请1项专项项目（含应急管理项目）</w:t>
      </w:r>
      <w:r>
        <w:rPr>
          <w:rFonts w:hint="eastAsia" w:ascii="仿宋_GB2312" w:hAnsi="仿宋_GB2312" w:eastAsia="仿宋_GB2312" w:cs="仿宋_GB2312"/>
          <w:i w:val="0"/>
          <w:iCs w:val="0"/>
          <w:caps w:val="0"/>
          <w:color w:val="000000"/>
          <w:spacing w:val="0"/>
          <w:sz w:val="30"/>
          <w:szCs w:val="30"/>
          <w:bdr w:val="none" w:color="auto" w:sz="0" w:space="0"/>
          <w:shd w:val="clear" w:fill="FFFFFF"/>
        </w:rPr>
        <w:t>。</w:t>
      </w:r>
    </w:p>
    <w:p w14:paraId="7395F5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xml:space="preserve">　　3. </w:t>
      </w:r>
      <w:r>
        <w:rPr>
          <w:rFonts w:hint="eastAsia" w:ascii="仿宋_GB2312" w:hAnsi="仿宋_GB2312" w:eastAsia="仿宋_GB2312" w:cs="仿宋_GB2312"/>
          <w:b/>
          <w:bCs/>
          <w:i w:val="0"/>
          <w:iCs w:val="0"/>
          <w:caps w:val="0"/>
          <w:color w:val="000000"/>
          <w:spacing w:val="0"/>
          <w:sz w:val="30"/>
          <w:szCs w:val="30"/>
          <w:bdr w:val="none" w:color="auto" w:sz="0" w:space="0"/>
          <w:shd w:val="clear" w:fill="FFFFFF"/>
        </w:rPr>
        <w:t>主持或参与国家自然科学基金委员会管理科学部应急管理项目尚未结题的人员</w:t>
      </w:r>
      <w:r>
        <w:rPr>
          <w:rFonts w:hint="eastAsia" w:ascii="仿宋_GB2312" w:hAnsi="仿宋_GB2312" w:eastAsia="仿宋_GB2312" w:cs="仿宋_GB2312"/>
          <w:i w:val="0"/>
          <w:iCs w:val="0"/>
          <w:caps w:val="0"/>
          <w:color w:val="000000"/>
          <w:spacing w:val="0"/>
          <w:sz w:val="30"/>
          <w:szCs w:val="30"/>
          <w:bdr w:val="none" w:color="auto" w:sz="0" w:space="0"/>
          <w:shd w:val="clear" w:fill="FFFFFF"/>
        </w:rPr>
        <w:t>，不得作为主持人或参与人申请此次应急管理项目。</w:t>
      </w:r>
    </w:p>
    <w:p w14:paraId="797FA0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4. 遵守《2024年度国家自然科学基金项目指南》的相关要求，</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避免与国家社会科学基金重复资助</w:t>
      </w:r>
      <w:r>
        <w:rPr>
          <w:rFonts w:hint="eastAsia" w:ascii="仿宋_GB2312" w:hAnsi="仿宋_GB2312" w:eastAsia="仿宋_GB2312" w:cs="仿宋_GB2312"/>
          <w:i w:val="0"/>
          <w:iCs w:val="0"/>
          <w:caps w:val="0"/>
          <w:color w:val="000000"/>
          <w:spacing w:val="0"/>
          <w:sz w:val="30"/>
          <w:szCs w:val="30"/>
          <w:bdr w:val="none" w:color="auto" w:sz="0" w:space="0"/>
          <w:shd w:val="clear" w:fill="FFFFFF"/>
        </w:rPr>
        <w:t>。</w:t>
      </w:r>
    </w:p>
    <w:p w14:paraId="3CF020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（三）申请注意事项。</w:t>
      </w:r>
    </w:p>
    <w:p w14:paraId="2ADDA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1.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本项目试行无纸化申请，申请截止时间为2024年10月22日16时</w:t>
      </w:r>
      <w:r>
        <w:rPr>
          <w:rFonts w:hint="eastAsia" w:ascii="仿宋_GB2312" w:hAnsi="仿宋_GB2312" w:eastAsia="仿宋_GB2312" w:cs="仿宋_GB2312"/>
          <w:i w:val="0"/>
          <w:iCs w:val="0"/>
          <w:caps w:val="0"/>
          <w:color w:val="000000"/>
          <w:spacing w:val="0"/>
          <w:sz w:val="30"/>
          <w:szCs w:val="30"/>
          <w:bdr w:val="none" w:color="auto" w:sz="0" w:space="0"/>
          <w:shd w:val="clear" w:fill="FFFFFF"/>
        </w:rPr>
        <w:t>。研究期限为10-12个月（</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2024年11月-2025年10月</w:t>
      </w:r>
      <w:r>
        <w:rPr>
          <w:rFonts w:hint="eastAsia" w:ascii="仿宋_GB2312" w:hAnsi="仿宋_GB2312" w:eastAsia="仿宋_GB2312" w:cs="仿宋_GB2312"/>
          <w:i w:val="0"/>
          <w:iCs w:val="0"/>
          <w:caps w:val="0"/>
          <w:color w:val="000000"/>
          <w:spacing w:val="0"/>
          <w:sz w:val="30"/>
          <w:szCs w:val="30"/>
          <w:bdr w:val="none" w:color="auto" w:sz="0" w:space="0"/>
          <w:shd w:val="clear" w:fill="FFFFFF"/>
        </w:rPr>
        <w:t>）。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14:paraId="5425E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2.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鼓励并优先资助团队整体申请本项目</w:t>
      </w:r>
      <w:r>
        <w:rPr>
          <w:rFonts w:hint="eastAsia" w:ascii="仿宋_GB2312" w:hAnsi="仿宋_GB2312" w:eastAsia="仿宋_GB2312" w:cs="仿宋_GB2312"/>
          <w:i w:val="0"/>
          <w:iCs w:val="0"/>
          <w:caps w:val="0"/>
          <w:color w:val="000000"/>
          <w:spacing w:val="0"/>
          <w:sz w:val="30"/>
          <w:szCs w:val="30"/>
          <w:bdr w:val="none" w:color="auto" w:sz="0" w:space="0"/>
          <w:shd w:val="clear" w:fill="FFFFFF"/>
        </w:rPr>
        <w:t>。要求申请人将本项目作为一个整体来申请，其中包含</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1个总课题和5个子课题</w:t>
      </w:r>
      <w:r>
        <w:rPr>
          <w:rFonts w:hint="eastAsia" w:ascii="仿宋_GB2312" w:hAnsi="仿宋_GB2312" w:eastAsia="仿宋_GB2312" w:cs="仿宋_GB2312"/>
          <w:i w:val="0"/>
          <w:iCs w:val="0"/>
          <w:caps w:val="0"/>
          <w:color w:val="000000"/>
          <w:spacing w:val="0"/>
          <w:sz w:val="30"/>
          <w:szCs w:val="30"/>
          <w:bdr w:val="none" w:color="auto" w:sz="0" w:space="0"/>
          <w:shd w:val="clear" w:fill="FFFFFF"/>
        </w:rPr>
        <w:t>，并分别提交项目总体申请书和各子课题申请书，在研究内容中应明确说明本课题与其它相关课题之间的关系，加强各课题之间的合作。</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总项目负责人需在申请书中介绍子课题分工情况，并附上“整体申请项目承诺函”（附件），子课题无需提供承诺函</w:t>
      </w:r>
      <w:r>
        <w:rPr>
          <w:rFonts w:hint="eastAsia" w:ascii="仿宋_GB2312" w:hAnsi="仿宋_GB2312" w:eastAsia="仿宋_GB2312" w:cs="仿宋_GB2312"/>
          <w:i w:val="0"/>
          <w:iCs w:val="0"/>
          <w:caps w:val="0"/>
          <w:color w:val="000000"/>
          <w:spacing w:val="0"/>
          <w:sz w:val="30"/>
          <w:szCs w:val="30"/>
          <w:bdr w:val="none" w:color="auto" w:sz="0" w:space="0"/>
          <w:shd w:val="clear" w:fill="FFFFFF"/>
        </w:rPr>
        <w:t>。对不能组织团队整体申请，但对某一子课题确有研究优势的单份申请也有可能获得资助，该申请获准立项后申请人将归入整个项目团队。</w:t>
      </w:r>
    </w:p>
    <w:p w14:paraId="6114D8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3. 自然科学基金委接受申请书后将组织预评审。接到答辩通知的项目团队，</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总项目负责人须亲自参加答辩</w:t>
      </w:r>
      <w:r>
        <w:rPr>
          <w:rFonts w:hint="eastAsia" w:ascii="仿宋_GB2312" w:hAnsi="仿宋_GB2312" w:eastAsia="仿宋_GB2312" w:cs="仿宋_GB2312"/>
          <w:i w:val="0"/>
          <w:iCs w:val="0"/>
          <w:caps w:val="0"/>
          <w:color w:val="000000"/>
          <w:spacing w:val="0"/>
          <w:sz w:val="30"/>
          <w:szCs w:val="30"/>
          <w:bdr w:val="none" w:color="auto" w:sz="0" w:space="0"/>
          <w:shd w:val="clear" w:fill="FFFFFF"/>
        </w:rPr>
        <w:t>，不按时参加答辩者视为自动放弃申请。经评审组专家评议，管理科学部计划择优资助一个团队（评审组专家可能会择优组合团队）。每个子课题资助直接经费不超过20万元，总课题资助直接经费不超过30万元。</w:t>
      </w:r>
    </w:p>
    <w:p w14:paraId="52898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4. 拟申请项目的申请人到</w:t>
      </w:r>
      <w:r>
        <w:rPr>
          <w:rFonts w:hint="eastAsia" w:ascii="仿宋_GB2312" w:hAnsi="仿宋_GB2312" w:eastAsia="仿宋_GB2312" w:cs="仿宋_GB2312"/>
          <w:b/>
          <w:bCs/>
          <w:i w:val="0"/>
          <w:iCs w:val="0"/>
          <w:caps w:val="0"/>
          <w:color w:val="000000"/>
          <w:spacing w:val="0"/>
          <w:sz w:val="30"/>
          <w:szCs w:val="30"/>
          <w:bdr w:val="none" w:color="auto" w:sz="0" w:space="0"/>
          <w:shd w:val="clear" w:fill="FFFFFF"/>
        </w:rPr>
        <w:t>自然科学基金委网站在线填写2024年度申请书，申请代码选填“G04”，资助类别选填“专项项目”，亚类说明选填“研究项目”，附注说明选填“管理科学部应急管理项目”</w:t>
      </w:r>
      <w:r>
        <w:rPr>
          <w:rFonts w:hint="eastAsia" w:ascii="仿宋_GB2312" w:hAnsi="仿宋_GB2312" w:eastAsia="仿宋_GB2312" w:cs="仿宋_GB2312"/>
          <w:i w:val="0"/>
          <w:iCs w:val="0"/>
          <w:caps w:val="0"/>
          <w:color w:val="000000"/>
          <w:spacing w:val="0"/>
          <w:sz w:val="30"/>
          <w:szCs w:val="30"/>
          <w:bdr w:val="none" w:color="auto" w:sz="0" w:space="0"/>
          <w:shd w:val="clear" w:fill="FFFFFF"/>
        </w:rPr>
        <w:t>。正文部分按照“</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申请书撰写提纲</w:t>
      </w:r>
      <w:r>
        <w:rPr>
          <w:rFonts w:hint="eastAsia" w:ascii="仿宋_GB2312" w:hAnsi="仿宋_GB2312" w:eastAsia="仿宋_GB2312" w:cs="仿宋_GB2312"/>
          <w:i w:val="0"/>
          <w:iCs w:val="0"/>
          <w:caps w:val="0"/>
          <w:color w:val="000000"/>
          <w:spacing w:val="0"/>
          <w:sz w:val="30"/>
          <w:szCs w:val="30"/>
          <w:bdr w:val="none" w:color="auto" w:sz="0" w:space="0"/>
          <w:shd w:val="clear" w:fill="FFFFFF"/>
        </w:rPr>
        <w:t>”撰写。申请人应严格按照本项目指南发布的课题内容撰写，</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各课题名称应与上述6个课题名称保持完全一致，否则将不予受理</w:t>
      </w:r>
      <w:r>
        <w:rPr>
          <w:rFonts w:hint="eastAsia" w:ascii="仿宋_GB2312" w:hAnsi="仿宋_GB2312" w:eastAsia="仿宋_GB2312" w:cs="仿宋_GB2312"/>
          <w:i w:val="0"/>
          <w:iCs w:val="0"/>
          <w:caps w:val="0"/>
          <w:color w:val="000000"/>
          <w:spacing w:val="0"/>
          <w:sz w:val="30"/>
          <w:szCs w:val="30"/>
          <w:bdr w:val="none" w:color="auto" w:sz="0" w:space="0"/>
          <w:shd w:val="clear" w:fill="FFFFFF"/>
        </w:rPr>
        <w:t>。</w:t>
      </w:r>
    </w:p>
    <w:p w14:paraId="115858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5. 申请人要严格按照中央文件精神和《资金管理办法》《国家自然科学基金项目预算表编制说明》等的要求，根据“政策相符性、目标相关性、经济合理性”的基本原则，结合项目研究实际需要，编报项目预算。</w:t>
      </w:r>
    </w:p>
    <w:p w14:paraId="4B41E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6. 申请人完成申请书撰写后，务必在</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2024年10月16日-2024年10月</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lang w:val="en-US" w:eastAsia="zh-CN"/>
        </w:rPr>
        <w:t>17</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日16时</w:t>
      </w:r>
      <w:r>
        <w:rPr>
          <w:rFonts w:hint="eastAsia" w:ascii="仿宋_GB2312" w:hAnsi="仿宋_GB2312" w:eastAsia="仿宋_GB2312" w:cs="仿宋_GB2312"/>
          <w:i w:val="0"/>
          <w:iCs w:val="0"/>
          <w:caps w:val="0"/>
          <w:color w:val="000000"/>
          <w:spacing w:val="0"/>
          <w:sz w:val="30"/>
          <w:szCs w:val="30"/>
          <w:bdr w:val="none" w:color="auto" w:sz="0" w:space="0"/>
          <w:shd w:val="clear" w:fill="FFFFFF"/>
        </w:rPr>
        <w:t>期间通过科学基金网络信息系统（https://grants.nsfc.gov.cn）在线提交电子申请书及附件材料。</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总课题提供的整体申请项目承诺函和各课题申请材料中所需的附件材料（有关证明信、推荐信和其他特别说明要求提交的纸质材料原件），全部以电子扫描件上传。</w:t>
      </w:r>
    </w:p>
    <w:p w14:paraId="02398D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w:t>
      </w:r>
      <w:r>
        <w:rPr>
          <w:rStyle w:val="6"/>
          <w:rFonts w:hint="eastAsia" w:ascii="仿宋_GB2312" w:hAnsi="仿宋_GB2312" w:eastAsia="仿宋_GB2312" w:cs="仿宋_GB2312"/>
          <w:i w:val="0"/>
          <w:iCs w:val="0"/>
          <w:caps w:val="0"/>
          <w:color w:val="000000"/>
          <w:spacing w:val="0"/>
          <w:sz w:val="30"/>
          <w:szCs w:val="30"/>
          <w:bdr w:val="none" w:color="auto" w:sz="0" w:space="0"/>
          <w:shd w:val="clear" w:fill="FFFFFF"/>
        </w:rPr>
        <w:t>四、咨询联系方式</w:t>
      </w:r>
    </w:p>
    <w:p w14:paraId="404CB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1. 填报过程中遇到的技术问题，可联系国家自然科学基金委员会信息中心协助解决，联系电话：010-62317474。</w:t>
      </w:r>
    </w:p>
    <w:p w14:paraId="06D03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2. 国家自然科学基金委员会项目材料接收工作组负责接收申请材料，如材料不完整，将不予接收。联系电话：010-62328591。</w:t>
      </w:r>
    </w:p>
    <w:p w14:paraId="0146AF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3. 其他问题可咨询国家自然科学基金委员会管理科学部三处</w:t>
      </w:r>
    </w:p>
    <w:p w14:paraId="6A9EB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联系人：胡老师 吴老师</w:t>
      </w:r>
    </w:p>
    <w:p w14:paraId="28E4A5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both"/>
        <w:textAlignment w:val="auto"/>
        <w:rPr>
          <w:rFonts w:hint="eastAsia" w:ascii="仿宋_GB2312" w:hAnsi="仿宋_GB2312" w:eastAsia="仿宋_GB2312" w:cs="仿宋_GB2312"/>
          <w:i w:val="0"/>
          <w:iCs w:val="0"/>
          <w:caps w:val="0"/>
          <w:color w:val="000000"/>
          <w:spacing w:val="0"/>
          <w:sz w:val="30"/>
          <w:szCs w:val="30"/>
          <w:bdr w:val="none" w:color="auto" w:sz="0" w:space="0"/>
          <w:shd w:val="clear" w:fill="FFFFFF"/>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电话：010-62327153、010-62327152</w:t>
      </w:r>
    </w:p>
    <w:p w14:paraId="65F91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邮箱：hujm@nsfc.gov.cn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ZDY2ZDY0YWVhNTM3YTViZWMyM2U2ZjFkNjlhODQifQ=="/>
  </w:docVars>
  <w:rsids>
    <w:rsidRoot w:val="00000000"/>
    <w:rsid w:val="26EA5F2D"/>
    <w:rsid w:val="4622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2024-09-12T01:37:17Z</dcterms:created>
  <dc:creator>Administrator</dc:creator>
  <cp:lastModifiedBy>王娓</cp:lastModifiedBy>
  <dcterms:modified xsi:type="dcterms:W3CDTF">2024-09-12T01:43:18Z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6BDF61DA0FE548D0B6E5DBEBAC4FB94D_12</vt:lpwstr>
  </property>
</Properties>
</file>