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53F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b/>
          <w:bCs/>
          <w:i w:val="0"/>
          <w:iCs w:val="0"/>
          <w:caps w:val="0"/>
          <w:color w:val="000000"/>
          <w:spacing w:val="0"/>
          <w:sz w:val="30"/>
          <w:szCs w:val="30"/>
          <w:shd w:val="clear" w:fill="FFFFFF"/>
        </w:rPr>
      </w:pPr>
      <w:r>
        <w:rPr>
          <w:rFonts w:hint="eastAsia" w:ascii="微软雅黑" w:hAnsi="微软雅黑" w:eastAsia="微软雅黑" w:cs="微软雅黑"/>
          <w:b/>
          <w:bCs/>
          <w:i w:val="0"/>
          <w:iCs w:val="0"/>
          <w:caps w:val="0"/>
          <w:color w:val="000000"/>
          <w:spacing w:val="0"/>
          <w:sz w:val="30"/>
          <w:szCs w:val="30"/>
          <w:shd w:val="clear" w:fill="FFFFFF"/>
        </w:rPr>
        <w:t>国家自然科学基金委员会管理科学部</w:t>
      </w:r>
    </w:p>
    <w:p w14:paraId="607A69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b/>
          <w:bCs/>
          <w:i w:val="0"/>
          <w:iCs w:val="0"/>
          <w:caps w:val="0"/>
          <w:color w:val="000000"/>
          <w:spacing w:val="0"/>
          <w:sz w:val="30"/>
          <w:szCs w:val="30"/>
          <w:shd w:val="clear" w:fill="FFFFFF"/>
        </w:rPr>
      </w:pPr>
      <w:r>
        <w:rPr>
          <w:rFonts w:hint="eastAsia" w:ascii="微软雅黑" w:hAnsi="微软雅黑" w:eastAsia="微软雅黑" w:cs="微软雅黑"/>
          <w:b/>
          <w:bCs/>
          <w:i w:val="0"/>
          <w:iCs w:val="0"/>
          <w:caps w:val="0"/>
          <w:color w:val="000000"/>
          <w:spacing w:val="0"/>
          <w:sz w:val="30"/>
          <w:szCs w:val="30"/>
          <w:shd w:val="clear" w:fill="FFFFFF"/>
        </w:rPr>
        <w:t>2024年第2期应急管理项目</w:t>
      </w:r>
    </w:p>
    <w:p w14:paraId="7CBDF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微软雅黑" w:hAnsi="微软雅黑" w:eastAsia="微软雅黑" w:cs="微软雅黑"/>
          <w:b/>
          <w:bCs/>
          <w:i w:val="0"/>
          <w:iCs w:val="0"/>
          <w:caps w:val="0"/>
          <w:color w:val="000000"/>
          <w:spacing w:val="0"/>
          <w:sz w:val="30"/>
          <w:szCs w:val="30"/>
          <w:lang w:val="en-US" w:eastAsia="zh-CN"/>
        </w:rPr>
      </w:pPr>
      <w:r>
        <w:rPr>
          <w:rFonts w:hint="eastAsia" w:ascii="微软雅黑" w:hAnsi="微软雅黑" w:eastAsia="微软雅黑" w:cs="微软雅黑"/>
          <w:b/>
          <w:bCs/>
          <w:i w:val="0"/>
          <w:iCs w:val="0"/>
          <w:caps w:val="0"/>
          <w:color w:val="000000"/>
          <w:spacing w:val="0"/>
          <w:sz w:val="30"/>
          <w:szCs w:val="30"/>
          <w:shd w:val="clear" w:fill="FFFFFF"/>
        </w:rPr>
        <w:t>《老龄化背景下养老金融高质量发展路径与影响机制》</w:t>
      </w:r>
      <w:r>
        <w:rPr>
          <w:rFonts w:hint="eastAsia" w:ascii="微软雅黑" w:hAnsi="微软雅黑" w:eastAsia="微软雅黑" w:cs="微软雅黑"/>
          <w:b/>
          <w:bCs/>
          <w:i w:val="0"/>
          <w:iCs w:val="0"/>
          <w:caps w:val="0"/>
          <w:color w:val="000000"/>
          <w:spacing w:val="0"/>
          <w:sz w:val="30"/>
          <w:szCs w:val="30"/>
          <w:shd w:val="clear" w:fill="FFFFFF"/>
          <w:lang w:val="en-US" w:eastAsia="zh-CN"/>
        </w:rPr>
        <w:t>申请说明</w:t>
      </w:r>
    </w:p>
    <w:p w14:paraId="088AA24C">
      <w:pPr>
        <w:keepNext w:val="0"/>
        <w:keepLines w:val="0"/>
        <w:pageBreakBefore w:val="0"/>
        <w:kinsoku/>
        <w:wordWrap/>
        <w:overflowPunct/>
        <w:topLinePunct w:val="0"/>
        <w:autoSpaceDE/>
        <w:autoSpaceDN/>
        <w:bidi w:val="0"/>
        <w:adjustRightInd/>
        <w:snapToGrid/>
        <w:spacing w:line="360" w:lineRule="auto"/>
        <w:textAlignment w:val="auto"/>
        <w:rPr>
          <w:sz w:val="30"/>
          <w:szCs w:val="30"/>
        </w:rPr>
      </w:pPr>
    </w:p>
    <w:p w14:paraId="72C4ED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Style w:val="6"/>
          <w:rFonts w:hint="eastAsia" w:ascii="仿宋_GB2312" w:hAnsi="仿宋_GB2312" w:eastAsia="仿宋_GB2312" w:cs="仿宋_GB2312"/>
          <w:i w:val="0"/>
          <w:iCs w:val="0"/>
          <w:caps w:val="0"/>
          <w:color w:val="000000"/>
          <w:spacing w:val="0"/>
          <w:sz w:val="30"/>
          <w:szCs w:val="30"/>
          <w:shd w:val="clear" w:fill="FFFFFF"/>
        </w:rPr>
        <w:t>一、项目类型和意义说明</w:t>
      </w:r>
    </w:p>
    <w:p w14:paraId="6B803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为了对经济、科技、社会发展中出现的一些重大管理问题快速做出反应，及时为党和政府高层决策提供科学分析和政策建议，国家自然科学基金委员会于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14:paraId="7CF6F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14:paraId="3B008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14:paraId="537E4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二、2024年第2期应急管理项目《老龄化背景下养老金融高质量发展路径与影响机制》申请指南</w:t>
      </w:r>
    </w:p>
    <w:p w14:paraId="3DE2E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当前，我国人口老龄化趋势加快，养老保险体系的可持续性面临巨大挑战。党的二十大报告指出，要发展多层次、多支柱的养老保险体系。党的二十届三中全会明确指出“积极应对人口老龄化，完善发展养老事业和养老产业政策机制”。在此背景下，金融服务个人养老和养老产业的重要性日益凸显。2023年10月底召开的中央金融工作会议，明确提出做好养老金融的要求。</w:t>
      </w:r>
    </w:p>
    <w:p w14:paraId="50086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养老金融旨在以养老金增值保值、保障退休收入水平、满足老年人金融需求和确保养老产业金融可获得性为目标，为老年人提供全方位的金融产品和服务活动。养老金融体系的完善对于保障老年人的基本生活需求至关重要。它不仅能够缓解社会保障压力，还能通过合理的资金配置促进金融市场健康发展。此外，养老金融的创新与发展，有助于激发老年人消费潜力，推动经济增长，实现社会资源的合理分配和代际公平。面对全球经济环境的不确定性和人口结构变化的挑战，我们需要在经济转型的大背景下提升养老金融的普及性和适应性，为我国金融体系的可持续发展注入新动力。</w:t>
      </w:r>
    </w:p>
    <w:p w14:paraId="70990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我国养老金融尚处于发展的初级阶段，面临多维度叠加的复杂问题和挑战。人口老龄化的加速导致养老保障需求激增，而现有的养老金融体系可能面临资金缺口和可持续性问题。养老金融产品和服务的多样性和创新性不足，难以满足不同群体的个性化需求。老年人对于金融产品的认知有限，难以做出合理的养老规划和投资决策。金融市场的波动性也给养老资金的保值增值带来不确定性，增加了养老金融的风险管理难度。政策和法规的不完善也可能制约养老金融的发展，需要政府加强顶层设计，出台更多支持性政策，促进养老金融体系的完善。因此，本项目以人口老龄化为背景，采用前沿的理论模型、实证分析、定量模拟、学科交叉等研究方法，研究我国养老金融高质量发展的路径与策略选择，为国家有关部门制定相关政策提供咨询建议。具体包括以下几个方面：</w:t>
      </w:r>
    </w:p>
    <w:p w14:paraId="5BFFB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总课题：养老金体系三大支柱协同模式与政策设计研究</w:t>
      </w:r>
    </w:p>
    <w:p w14:paraId="4CAD7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我国养老金体系包含三大支柱：基本养老保险制度、职业养老金制度、个人养老金制度，在人口老龄化不断加速的形势下，如何保障人民群众在老年期的财务安全，是一个重要的民生问题。养老金不能仅靠基本养老保险，需要充分发挥职业养老金、个人养老金的作用，提高企业和群众自愿参与的积极性。本项目将重点研究如何实现三支柱的可持续健康发展。主要内容包括：（1）养老金体系及改革的历史演进与国际比较分析；（2）养老金体系三支柱发展的协同效应评估与机制；（3）养老金体系三支柱结构优化与融合发展模式；（4）推动养老金体系可持续健康发展的政策设计。</w:t>
      </w:r>
    </w:p>
    <w:p w14:paraId="132C9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子课题1：基本养老保险全国统筹路径与可持续评估</w:t>
      </w:r>
    </w:p>
    <w:p w14:paraId="08DA1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基本养老保险是养老金融体系的核心。当前，基本养老金的区域间结构性矛盾较为突出，抗风险能力不足。本课题重点探索基本养老保险全国统筹的实现路径，并对其财务和社会可持续性进行全面评估。主要研究内容包括：（1）基本养老保险收支区域不均衡性分析；（2）基本养老保险全国统筹现状、问题与实施效果评估；（3）跨统筹区的社保转移接续政策研究；（4）基本养老保险全国统筹实施策略。</w:t>
      </w:r>
    </w:p>
    <w:p w14:paraId="78E89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子课题2：老龄化社会的养老金融产品创新与政策设计</w:t>
      </w:r>
    </w:p>
    <w:p w14:paraId="5DD49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养老金体系的第二和第三支柱是养老金融的重要资金来源，在我国的发展尚不充分。同时，其它商业养老金融产品（如商业养老金等产品）也有巨大的发展潜力。本课题聚焦老龄化社会背景下养老金融产品的创新与政策设计，主要研究内容包括：（1）养老金融产品供给和监管的国际比较与中国实践；（2）我国不同群体养老金融的需求特征分析；（3）我国养老金融产品供给现状与创新发展研究；（4）养老金融产品的风险管理与政策研究。</w:t>
      </w:r>
    </w:p>
    <w:p w14:paraId="78FF43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子课题3：个人养老资产储备与优化配置研究</w:t>
      </w:r>
    </w:p>
    <w:p w14:paraId="02FE3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新时代下人口结构、家庭环境、劳动模式、知识水平、代际交替等因素表现出不同以往的特征，使得个人养老资产储备和配置需求及其表现形式出现了较大变化，金融深化的持续推进使得居民养老资产配置选择日渐丰富，并反映在个人养老资产配置决策上。本课题重点分析微观个体最优资产配置策略。主要研究内容包括：（1）老年群体养老资产的构成、充足性现状以及变化趋势；（2）生命周期不同阶段个人养老资产储备与优化配置研究；（3）市场与政策环境变化对养老资产储备与配置、就业、消费和储蓄行为的影响；（4）财务约束、风险偏好及退休预期对资产配置的影响；（5）个人养老资产配置的政策引导及风险防范研究。</w:t>
      </w:r>
    </w:p>
    <w:p w14:paraId="0A40B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子课题4：养老服务金融面临的挑战与对策</w:t>
      </w:r>
    </w:p>
    <w:p w14:paraId="19FC29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如何把养老财富转换为养老消费是一个重要课题。以房养老、年金保险、土地养老金融、商业养老理财等养老服务金融模式仍然存在很多问题。本课题探索不同养老服务金融模式，如养老财富消费、土地养老金融等在实际试点过程中面临的挑战，并提出相应的应对策略。（1）养老服务金融模式的国际比较；（2）我国养老服务金融的内涵及各种模式发展面临的障碍研究；（3）我国养老服务金融的创新研究；（4）我国养老服务金融的政府监管。</w:t>
      </w:r>
    </w:p>
    <w:p w14:paraId="541D3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子课题5：养老产业金融的改革路径与政策研究</w:t>
      </w:r>
    </w:p>
    <w:p w14:paraId="78BCE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随着老龄化人口快速增加，建立高质量的现代化养老产业金融体系成为必然趋势。养老产业金融在发展中存在资金缺乏、风险管理机制不健全、行业监管不充分等问题。本课题围绕老龄化社会背景下养老产业金融改革，研究如何通过政策引导和市场机制推动产业健康发展。主要研究内容如下：（1）发展养老产业金融的国际比较分析；（2）我国养老产业金融的发展现状与挑战；（3）我国养老产业金融面临的主要风险与应对策略；（4）我国养老产业金融的发展机制与监管模式。</w:t>
      </w:r>
    </w:p>
    <w:p w14:paraId="67824C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三、申请要求及注意事项</w:t>
      </w:r>
    </w:p>
    <w:p w14:paraId="56E1E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（一）申请条件。</w:t>
      </w:r>
    </w:p>
    <w:p w14:paraId="237C7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本项目申请人应当具备以下条件：</w:t>
      </w:r>
    </w:p>
    <w:p w14:paraId="11613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1. 具有承担基础研究课题或者其他从事基础研究的经历；</w:t>
      </w:r>
    </w:p>
    <w:p w14:paraId="17288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xml:space="preserve">　　2. </w:t>
      </w:r>
      <w:r>
        <w:rPr>
          <w:rFonts w:hint="eastAsia" w:ascii="仿宋_GB2312" w:hAnsi="仿宋_GB2312" w:eastAsia="仿宋_GB2312" w:cs="仿宋_GB2312"/>
          <w:b/>
          <w:bCs/>
          <w:i w:val="0"/>
          <w:iCs w:val="0"/>
          <w:caps w:val="0"/>
          <w:color w:val="000000"/>
          <w:spacing w:val="0"/>
          <w:sz w:val="30"/>
          <w:szCs w:val="30"/>
          <w:shd w:val="clear" w:fill="FFFFFF"/>
        </w:rPr>
        <w:t>具有高级专业技术职务（职称）或者具有博士学位</w:t>
      </w:r>
      <w:r>
        <w:rPr>
          <w:rFonts w:hint="eastAsia" w:ascii="仿宋_GB2312" w:hAnsi="仿宋_GB2312" w:eastAsia="仿宋_GB2312" w:cs="仿宋_GB2312"/>
          <w:i w:val="0"/>
          <w:iCs w:val="0"/>
          <w:caps w:val="0"/>
          <w:color w:val="000000"/>
          <w:spacing w:val="0"/>
          <w:sz w:val="30"/>
          <w:szCs w:val="30"/>
          <w:shd w:val="clear" w:fill="FFFFFF"/>
        </w:rPr>
        <w:t>。</w:t>
      </w:r>
    </w:p>
    <w:p w14:paraId="5297D4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正在博士后流动站或者工作站内从事研究工作、正在攻读研究生学位以及无工作单位或者所在单位不是依托单位的人员不得申请本项目。</w:t>
      </w:r>
    </w:p>
    <w:p w14:paraId="64AA5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（二）申请限项规定。</w:t>
      </w:r>
    </w:p>
    <w:p w14:paraId="746D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1. 本项目不计入高级专业技术职务（职称）人员申请和承担总数2项的范围。</w:t>
      </w:r>
    </w:p>
    <w:p w14:paraId="5C8B2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2. 申请人</w:t>
      </w:r>
      <w:r>
        <w:rPr>
          <w:rFonts w:hint="eastAsia" w:ascii="仿宋_GB2312" w:hAnsi="仿宋_GB2312" w:eastAsia="仿宋_GB2312" w:cs="仿宋_GB2312"/>
          <w:b/>
          <w:bCs/>
          <w:i w:val="0"/>
          <w:iCs w:val="0"/>
          <w:caps w:val="0"/>
          <w:color w:val="000000"/>
          <w:spacing w:val="0"/>
          <w:sz w:val="30"/>
          <w:szCs w:val="30"/>
          <w:shd w:val="clear" w:fill="FFFFFF"/>
        </w:rPr>
        <w:t>同一年度一般只能申请1项专项项目（含应急管理项目）</w:t>
      </w:r>
      <w:r>
        <w:rPr>
          <w:rFonts w:hint="eastAsia" w:ascii="仿宋_GB2312" w:hAnsi="仿宋_GB2312" w:eastAsia="仿宋_GB2312" w:cs="仿宋_GB2312"/>
          <w:i w:val="0"/>
          <w:iCs w:val="0"/>
          <w:caps w:val="0"/>
          <w:color w:val="000000"/>
          <w:spacing w:val="0"/>
          <w:sz w:val="30"/>
          <w:szCs w:val="30"/>
          <w:shd w:val="clear" w:fill="FFFFFF"/>
        </w:rPr>
        <w:t>。</w:t>
      </w:r>
    </w:p>
    <w:p w14:paraId="7AF532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xml:space="preserve">　　3. </w:t>
      </w:r>
      <w:r>
        <w:rPr>
          <w:rFonts w:hint="eastAsia" w:ascii="仿宋_GB2312" w:hAnsi="仿宋_GB2312" w:eastAsia="仿宋_GB2312" w:cs="仿宋_GB2312"/>
          <w:b/>
          <w:bCs/>
          <w:i w:val="0"/>
          <w:iCs w:val="0"/>
          <w:caps w:val="0"/>
          <w:color w:val="000000"/>
          <w:spacing w:val="0"/>
          <w:sz w:val="30"/>
          <w:szCs w:val="30"/>
          <w:shd w:val="clear" w:fill="FFFFFF"/>
        </w:rPr>
        <w:t>主持或参与国家自然科学基金委员会管理科学部应急管理项目尚未结题的人员</w:t>
      </w:r>
      <w:r>
        <w:rPr>
          <w:rFonts w:hint="eastAsia" w:ascii="仿宋_GB2312" w:hAnsi="仿宋_GB2312" w:eastAsia="仿宋_GB2312" w:cs="仿宋_GB2312"/>
          <w:i w:val="0"/>
          <w:iCs w:val="0"/>
          <w:caps w:val="0"/>
          <w:color w:val="000000"/>
          <w:spacing w:val="0"/>
          <w:sz w:val="30"/>
          <w:szCs w:val="30"/>
          <w:shd w:val="clear" w:fill="FFFFFF"/>
        </w:rPr>
        <w:t>，不得作为主持人或参与人申请此次应急管理项目。</w:t>
      </w:r>
    </w:p>
    <w:p w14:paraId="4E38B0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4. 遵守《2024年度国家自然科学基金项目指南》的相关要求，</w:t>
      </w:r>
      <w:r>
        <w:rPr>
          <w:rStyle w:val="6"/>
          <w:rFonts w:hint="eastAsia" w:ascii="仿宋_GB2312" w:hAnsi="仿宋_GB2312" w:eastAsia="仿宋_GB2312" w:cs="仿宋_GB2312"/>
          <w:i w:val="0"/>
          <w:iCs w:val="0"/>
          <w:caps w:val="0"/>
          <w:color w:val="000000"/>
          <w:spacing w:val="0"/>
          <w:sz w:val="30"/>
          <w:szCs w:val="30"/>
          <w:shd w:val="clear" w:fill="FFFFFF"/>
        </w:rPr>
        <w:t>避免与国家社会科学基金重复资助</w:t>
      </w:r>
      <w:r>
        <w:rPr>
          <w:rFonts w:hint="eastAsia" w:ascii="仿宋_GB2312" w:hAnsi="仿宋_GB2312" w:eastAsia="仿宋_GB2312" w:cs="仿宋_GB2312"/>
          <w:i w:val="0"/>
          <w:iCs w:val="0"/>
          <w:caps w:val="0"/>
          <w:color w:val="000000"/>
          <w:spacing w:val="0"/>
          <w:sz w:val="30"/>
          <w:szCs w:val="30"/>
          <w:shd w:val="clear" w:fill="FFFFFF"/>
        </w:rPr>
        <w:t>。</w:t>
      </w:r>
    </w:p>
    <w:p w14:paraId="2C1140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（三）申请注意事项。</w:t>
      </w:r>
    </w:p>
    <w:p w14:paraId="6AF531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1. </w:t>
      </w:r>
      <w:r>
        <w:rPr>
          <w:rStyle w:val="6"/>
          <w:rFonts w:hint="eastAsia" w:ascii="仿宋_GB2312" w:hAnsi="仿宋_GB2312" w:eastAsia="仿宋_GB2312" w:cs="仿宋_GB2312"/>
          <w:i w:val="0"/>
          <w:iCs w:val="0"/>
          <w:caps w:val="0"/>
          <w:color w:val="000000"/>
          <w:spacing w:val="0"/>
          <w:sz w:val="30"/>
          <w:szCs w:val="30"/>
          <w:shd w:val="clear" w:fill="FFFFFF"/>
        </w:rPr>
        <w:t>本项目试行无纸化申请，申请截止时间为2024年10月15日16时</w:t>
      </w:r>
      <w:r>
        <w:rPr>
          <w:rFonts w:hint="eastAsia" w:ascii="仿宋_GB2312" w:hAnsi="仿宋_GB2312" w:eastAsia="仿宋_GB2312" w:cs="仿宋_GB2312"/>
          <w:i w:val="0"/>
          <w:iCs w:val="0"/>
          <w:caps w:val="0"/>
          <w:color w:val="000000"/>
          <w:spacing w:val="0"/>
          <w:sz w:val="30"/>
          <w:szCs w:val="30"/>
          <w:shd w:val="clear" w:fill="FFFFFF"/>
        </w:rPr>
        <w:t>。研究期限为10-12个月（</w:t>
      </w:r>
      <w:r>
        <w:rPr>
          <w:rStyle w:val="6"/>
          <w:rFonts w:hint="eastAsia" w:ascii="仿宋_GB2312" w:hAnsi="仿宋_GB2312" w:eastAsia="仿宋_GB2312" w:cs="仿宋_GB2312"/>
          <w:i w:val="0"/>
          <w:iCs w:val="0"/>
          <w:caps w:val="0"/>
          <w:color w:val="000000"/>
          <w:spacing w:val="0"/>
          <w:sz w:val="30"/>
          <w:szCs w:val="30"/>
          <w:shd w:val="clear" w:fill="FFFFFF"/>
        </w:rPr>
        <w:t>2024年11月-2025年10月</w:t>
      </w:r>
      <w:r>
        <w:rPr>
          <w:rFonts w:hint="eastAsia" w:ascii="仿宋_GB2312" w:hAnsi="仿宋_GB2312" w:eastAsia="仿宋_GB2312" w:cs="仿宋_GB2312"/>
          <w:i w:val="0"/>
          <w:iCs w:val="0"/>
          <w:caps w:val="0"/>
          <w:color w:val="000000"/>
          <w:spacing w:val="0"/>
          <w:sz w:val="30"/>
          <w:szCs w:val="30"/>
          <w:shd w:val="clear" w:fill="FFFFFF"/>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14:paraId="59626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2. </w:t>
      </w:r>
      <w:r>
        <w:rPr>
          <w:rStyle w:val="6"/>
          <w:rFonts w:hint="eastAsia" w:ascii="仿宋_GB2312" w:hAnsi="仿宋_GB2312" w:eastAsia="仿宋_GB2312" w:cs="仿宋_GB2312"/>
          <w:i w:val="0"/>
          <w:iCs w:val="0"/>
          <w:caps w:val="0"/>
          <w:color w:val="000000"/>
          <w:spacing w:val="0"/>
          <w:sz w:val="30"/>
          <w:szCs w:val="30"/>
          <w:shd w:val="clear" w:fill="FFFFFF"/>
        </w:rPr>
        <w:t>鼓励并优先资助团队整体申请本项目</w:t>
      </w:r>
      <w:r>
        <w:rPr>
          <w:rFonts w:hint="eastAsia" w:ascii="仿宋_GB2312" w:hAnsi="仿宋_GB2312" w:eastAsia="仿宋_GB2312" w:cs="仿宋_GB2312"/>
          <w:i w:val="0"/>
          <w:iCs w:val="0"/>
          <w:caps w:val="0"/>
          <w:color w:val="000000"/>
          <w:spacing w:val="0"/>
          <w:sz w:val="30"/>
          <w:szCs w:val="30"/>
          <w:shd w:val="clear" w:fill="FFFFFF"/>
        </w:rPr>
        <w:t>。要求申请人将本项目作为一个整体来申请，其中包含1个总课题和5个子课题，并分别提交项目总体申请书和各子课题申请书，在研究内容中应明确说明本课题与其它相关课题之间的关系，加强各课题之间的合作。</w:t>
      </w:r>
      <w:r>
        <w:rPr>
          <w:rStyle w:val="6"/>
          <w:rFonts w:hint="eastAsia" w:ascii="仿宋_GB2312" w:hAnsi="仿宋_GB2312" w:eastAsia="仿宋_GB2312" w:cs="仿宋_GB2312"/>
          <w:i w:val="0"/>
          <w:iCs w:val="0"/>
          <w:caps w:val="0"/>
          <w:color w:val="000000"/>
          <w:spacing w:val="0"/>
          <w:sz w:val="30"/>
          <w:szCs w:val="30"/>
          <w:shd w:val="clear" w:fill="FFFFFF"/>
        </w:rPr>
        <w:t>总项目负责人需在申请书中介绍子课题分工情况，并附上“整体申请项目承诺函”（附件），子课题无需提供承诺函</w:t>
      </w:r>
      <w:r>
        <w:rPr>
          <w:rFonts w:hint="eastAsia" w:ascii="仿宋_GB2312" w:hAnsi="仿宋_GB2312" w:eastAsia="仿宋_GB2312" w:cs="仿宋_GB2312"/>
          <w:i w:val="0"/>
          <w:iCs w:val="0"/>
          <w:caps w:val="0"/>
          <w:color w:val="000000"/>
          <w:spacing w:val="0"/>
          <w:sz w:val="30"/>
          <w:szCs w:val="30"/>
          <w:shd w:val="clear" w:fill="FFFFFF"/>
        </w:rPr>
        <w:t>。对不能组织团队整体申请，但对某一子课题确有研究优势的单份申请也有可能获得资助，该申请获准立项后申请人将归入整个项目团队。</w:t>
      </w:r>
    </w:p>
    <w:p w14:paraId="3E4FB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3. 基金委接受申请书后将组织预评审。接到答辩通知的项目团队，</w:t>
      </w:r>
      <w:r>
        <w:rPr>
          <w:rStyle w:val="6"/>
          <w:rFonts w:hint="eastAsia" w:ascii="仿宋_GB2312" w:hAnsi="仿宋_GB2312" w:eastAsia="仿宋_GB2312" w:cs="仿宋_GB2312"/>
          <w:i w:val="0"/>
          <w:iCs w:val="0"/>
          <w:caps w:val="0"/>
          <w:color w:val="000000"/>
          <w:spacing w:val="0"/>
          <w:sz w:val="30"/>
          <w:szCs w:val="30"/>
          <w:shd w:val="clear" w:fill="FFFFFF"/>
        </w:rPr>
        <w:t>总项目负责人须亲自参加答辩</w:t>
      </w:r>
      <w:r>
        <w:rPr>
          <w:rFonts w:hint="eastAsia" w:ascii="仿宋_GB2312" w:hAnsi="仿宋_GB2312" w:eastAsia="仿宋_GB2312" w:cs="仿宋_GB2312"/>
          <w:i w:val="0"/>
          <w:iCs w:val="0"/>
          <w:caps w:val="0"/>
          <w:color w:val="000000"/>
          <w:spacing w:val="0"/>
          <w:sz w:val="30"/>
          <w:szCs w:val="30"/>
          <w:shd w:val="clear" w:fill="FFFFFF"/>
        </w:rPr>
        <w:t>，不按时参加答辩者视为自动放弃申请。经评审组专家评议，管理科学部计划择优资助一个团队（评审组专家可能会择优组合团队）。每个子课题资助直接经费不超过20万元，总课题资助直接经费不超过30万元。</w:t>
      </w:r>
    </w:p>
    <w:p w14:paraId="34B83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4. 拟申请项目的申请人到</w:t>
      </w:r>
      <w:r>
        <w:rPr>
          <w:rFonts w:hint="eastAsia" w:ascii="仿宋_GB2312" w:hAnsi="仿宋_GB2312" w:eastAsia="仿宋_GB2312" w:cs="仿宋_GB2312"/>
          <w:b/>
          <w:bCs/>
          <w:i w:val="0"/>
          <w:iCs w:val="0"/>
          <w:caps w:val="0"/>
          <w:color w:val="000000"/>
          <w:spacing w:val="0"/>
          <w:sz w:val="30"/>
          <w:szCs w:val="30"/>
          <w:shd w:val="clear" w:fill="FFFFFF"/>
        </w:rPr>
        <w:t>基金委网站在线填写2024年度申请书，申请代码选填“G04”，资助类别选填“专项项目”，亚类说明选填“研究项目”，附注说明选填“管理科学部应急管理项目”</w:t>
      </w:r>
      <w:r>
        <w:rPr>
          <w:rFonts w:hint="eastAsia" w:ascii="仿宋_GB2312" w:hAnsi="仿宋_GB2312" w:eastAsia="仿宋_GB2312" w:cs="仿宋_GB2312"/>
          <w:i w:val="0"/>
          <w:iCs w:val="0"/>
          <w:caps w:val="0"/>
          <w:color w:val="000000"/>
          <w:spacing w:val="0"/>
          <w:sz w:val="30"/>
          <w:szCs w:val="30"/>
          <w:shd w:val="clear" w:fill="FFFFFF"/>
        </w:rPr>
        <w:t>。正文部分按照“</w:t>
      </w:r>
      <w:r>
        <w:rPr>
          <w:rStyle w:val="6"/>
          <w:rFonts w:hint="eastAsia" w:ascii="仿宋_GB2312" w:hAnsi="仿宋_GB2312" w:eastAsia="仿宋_GB2312" w:cs="仿宋_GB2312"/>
          <w:i w:val="0"/>
          <w:iCs w:val="0"/>
          <w:caps w:val="0"/>
          <w:color w:val="000000"/>
          <w:spacing w:val="0"/>
          <w:sz w:val="30"/>
          <w:szCs w:val="30"/>
          <w:shd w:val="clear" w:fill="FFFFFF"/>
        </w:rPr>
        <w:t>申请书撰写提纲</w:t>
      </w:r>
      <w:r>
        <w:rPr>
          <w:rFonts w:hint="eastAsia" w:ascii="仿宋_GB2312" w:hAnsi="仿宋_GB2312" w:eastAsia="仿宋_GB2312" w:cs="仿宋_GB2312"/>
          <w:i w:val="0"/>
          <w:iCs w:val="0"/>
          <w:caps w:val="0"/>
          <w:color w:val="000000"/>
          <w:spacing w:val="0"/>
          <w:sz w:val="30"/>
          <w:szCs w:val="30"/>
          <w:shd w:val="clear" w:fill="FFFFFF"/>
        </w:rPr>
        <w:t>”撰写。申请人应严格按照本项目指南发布的课题内容撰写，</w:t>
      </w:r>
      <w:r>
        <w:rPr>
          <w:rStyle w:val="6"/>
          <w:rFonts w:hint="eastAsia" w:ascii="仿宋_GB2312" w:hAnsi="仿宋_GB2312" w:eastAsia="仿宋_GB2312" w:cs="仿宋_GB2312"/>
          <w:i w:val="0"/>
          <w:iCs w:val="0"/>
          <w:caps w:val="0"/>
          <w:color w:val="000000"/>
          <w:spacing w:val="0"/>
          <w:sz w:val="30"/>
          <w:szCs w:val="30"/>
          <w:shd w:val="clear" w:fill="FFFFFF"/>
        </w:rPr>
        <w:t>各课题名称应与上述6个课题名称保持完全一致，否则将不予受理</w:t>
      </w:r>
      <w:r>
        <w:rPr>
          <w:rFonts w:hint="eastAsia" w:ascii="仿宋_GB2312" w:hAnsi="仿宋_GB2312" w:eastAsia="仿宋_GB2312" w:cs="仿宋_GB2312"/>
          <w:i w:val="0"/>
          <w:iCs w:val="0"/>
          <w:caps w:val="0"/>
          <w:color w:val="000000"/>
          <w:spacing w:val="0"/>
          <w:sz w:val="30"/>
          <w:szCs w:val="30"/>
          <w:shd w:val="clear" w:fill="FFFFFF"/>
        </w:rPr>
        <w:t>。</w:t>
      </w:r>
    </w:p>
    <w:p w14:paraId="59DC02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5. 申请人要严格按照中央文件精神和《资金管理办法》《国家自然科学基金项目预算表编制说明》等的要求，根据“政策相符性、目标相关性、经济合理性”的基本原则，结合项目研究实际需要，编报项目预算。</w:t>
      </w:r>
    </w:p>
    <w:p w14:paraId="5E74F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6. 申请人完成申请书撰写后，务必在</w:t>
      </w:r>
      <w:r>
        <w:rPr>
          <w:rStyle w:val="6"/>
          <w:rFonts w:hint="eastAsia" w:ascii="仿宋_GB2312" w:hAnsi="仿宋_GB2312" w:eastAsia="仿宋_GB2312" w:cs="仿宋_GB2312"/>
          <w:i w:val="0"/>
          <w:iCs w:val="0"/>
          <w:caps w:val="0"/>
          <w:color w:val="000000"/>
          <w:spacing w:val="0"/>
          <w:sz w:val="30"/>
          <w:szCs w:val="30"/>
          <w:shd w:val="clear" w:fill="FFFFFF"/>
        </w:rPr>
        <w:t>2024年10月8日-2024年10月</w:t>
      </w:r>
      <w:r>
        <w:rPr>
          <w:rStyle w:val="6"/>
          <w:rFonts w:hint="eastAsia" w:ascii="仿宋_GB2312" w:hAnsi="仿宋_GB2312" w:eastAsia="仿宋_GB2312" w:cs="仿宋_GB2312"/>
          <w:i w:val="0"/>
          <w:iCs w:val="0"/>
          <w:caps w:val="0"/>
          <w:color w:val="000000"/>
          <w:spacing w:val="0"/>
          <w:sz w:val="30"/>
          <w:szCs w:val="30"/>
          <w:shd w:val="clear" w:fill="FFFFFF"/>
          <w:lang w:val="en-US" w:eastAsia="zh-CN"/>
        </w:rPr>
        <w:t>9</w:t>
      </w:r>
      <w:r>
        <w:rPr>
          <w:rStyle w:val="6"/>
          <w:rFonts w:hint="eastAsia" w:ascii="仿宋_GB2312" w:hAnsi="仿宋_GB2312" w:eastAsia="仿宋_GB2312" w:cs="仿宋_GB2312"/>
          <w:i w:val="0"/>
          <w:iCs w:val="0"/>
          <w:caps w:val="0"/>
          <w:color w:val="000000"/>
          <w:spacing w:val="0"/>
          <w:sz w:val="30"/>
          <w:szCs w:val="30"/>
          <w:shd w:val="clear" w:fill="FFFFFF"/>
        </w:rPr>
        <w:t>日16时</w:t>
      </w:r>
      <w:r>
        <w:rPr>
          <w:rFonts w:hint="eastAsia" w:ascii="仿宋_GB2312" w:hAnsi="仿宋_GB2312" w:eastAsia="仿宋_GB2312" w:cs="仿宋_GB2312"/>
          <w:i w:val="0"/>
          <w:iCs w:val="0"/>
          <w:caps w:val="0"/>
          <w:color w:val="000000"/>
          <w:spacing w:val="0"/>
          <w:sz w:val="30"/>
          <w:szCs w:val="30"/>
          <w:shd w:val="clear" w:fill="FFFFFF"/>
        </w:rPr>
        <w:t>期间通过科学基金网络信息系统（https://grants.nsfc.gov.cn）在线提交电子申请书及附件材料。总课题提供的整体申请项目承诺函和各课题申请材料中所需的附件材料（有关证明信、推荐信和其他特别说明要求提交的纸质材料原件），全部以电子扫描件上传。</w:t>
      </w:r>
    </w:p>
    <w:p w14:paraId="00D3A8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w:t>
      </w:r>
      <w:r>
        <w:rPr>
          <w:rStyle w:val="6"/>
          <w:rFonts w:hint="eastAsia" w:ascii="仿宋_GB2312" w:hAnsi="仿宋_GB2312" w:eastAsia="仿宋_GB2312" w:cs="仿宋_GB2312"/>
          <w:i w:val="0"/>
          <w:iCs w:val="0"/>
          <w:caps w:val="0"/>
          <w:color w:val="000000"/>
          <w:spacing w:val="0"/>
          <w:sz w:val="30"/>
          <w:szCs w:val="30"/>
          <w:shd w:val="clear" w:fill="FFFFFF"/>
        </w:rPr>
        <w:t>四、咨询联系方式</w:t>
      </w:r>
    </w:p>
    <w:p w14:paraId="1F0BC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1. 填报过程中遇到的技术问题，可联系国家自然科学基金委员会信息中心协助解决，联系电话：010-62317474。</w:t>
      </w:r>
    </w:p>
    <w:p w14:paraId="77E62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2. 国家自然科学基金委员会项目材料接收工作组负责接收申请材料，如材料不完整，将不予接收。联系电话：010-62328591。</w:t>
      </w:r>
    </w:p>
    <w:p w14:paraId="2D27CC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3. 其他问题可咨询国家自然科学基金委员会管理科学部三处</w:t>
      </w:r>
    </w:p>
    <w:p w14:paraId="0686FF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　　联系人：胡老师 吴老师</w:t>
      </w:r>
    </w:p>
    <w:p w14:paraId="6B12D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both"/>
        <w:textAlignment w:val="auto"/>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rPr>
        <w:t>电话：010-62327153、010-62327152</w:t>
      </w:r>
    </w:p>
    <w:p w14:paraId="51FCF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both"/>
        <w:textAlignment w:val="auto"/>
        <w:rPr>
          <w:sz w:val="30"/>
          <w:szCs w:val="30"/>
        </w:rPr>
      </w:pPr>
      <w:r>
        <w:rPr>
          <w:rFonts w:hint="eastAsia" w:ascii="仿宋_GB2312" w:hAnsi="仿宋_GB2312" w:eastAsia="仿宋_GB2312" w:cs="仿宋_GB2312"/>
          <w:i w:val="0"/>
          <w:iCs w:val="0"/>
          <w:caps w:val="0"/>
          <w:color w:val="000000"/>
          <w:spacing w:val="0"/>
          <w:sz w:val="30"/>
          <w:szCs w:val="30"/>
          <w:shd w:val="clear" w:fill="FFFFFF"/>
        </w:rPr>
        <w:t>邮箱：hujm@nsfc.gov.cn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DY2ZDY0YWVhNTM3YTViZWMyM2U2ZjFkNjlhODQifQ=="/>
  </w:docVars>
  <w:rsids>
    <w:rsidRoot w:val="00000000"/>
    <w:rsid w:val="03686002"/>
    <w:rsid w:val="102D36E4"/>
    <w:rsid w:val="17733AAD"/>
    <w:rsid w:val="1CF06AD2"/>
    <w:rsid w:val="2AB27175"/>
    <w:rsid w:val="49F23D78"/>
    <w:rsid w:val="4F1E4279"/>
    <w:rsid w:val="5E8303C5"/>
    <w:rsid w:val="7A67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4322</Words>
  <Characters>4473</Characters>
  <Lines>0</Lines>
  <Paragraphs>0</Paragraphs>
  <TotalTime>18</TotalTime>
  <ScaleCrop>false</ScaleCrop>
  <LinksUpToDate>false</LinksUpToDate>
  <CharactersWithSpaces>4573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2024-09-12T01:04:00Z</dcterms:created>
  <dc:creator>Administrator</dc:creator>
  <cp:lastModifiedBy>王娓</cp:lastModifiedBy>
  <dcterms:modified xsi:type="dcterms:W3CDTF">2024-09-12T01:43:05Z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5E4BB58E7A204618814B093AF9AA5103_12</vt:lpwstr>
  </property>
</Properties>
</file>